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FCEAA" w14:textId="77777777" w:rsidR="00B01BB2" w:rsidRDefault="00B01BB2" w:rsidP="00B01BB2">
      <w:pPr>
        <w:rPr>
          <w:b/>
          <w:bCs/>
        </w:rPr>
      </w:pPr>
      <w:r>
        <w:rPr>
          <w:b/>
          <w:bCs/>
        </w:rPr>
        <w:t>AMEM</w:t>
      </w:r>
      <w:r w:rsidRPr="000F0A3C">
        <w:rPr>
          <w:b/>
          <w:bCs/>
        </w:rPr>
        <w:t>1347112205B</w:t>
      </w:r>
      <w:r>
        <w:rPr>
          <w:b/>
          <w:bCs/>
        </w:rPr>
        <w:t xml:space="preserve"> </w:t>
      </w:r>
      <w:r w:rsidRPr="000F0A3C">
        <w:rPr>
          <w:b/>
          <w:bCs/>
        </w:rPr>
        <w:tab/>
        <w:t>AMTRON® 4Business 730 22 C2</w:t>
      </w:r>
    </w:p>
    <w:p w14:paraId="5988324A" w14:textId="77777777" w:rsidR="00B01BB2" w:rsidRDefault="00B01BB2" w:rsidP="00B01BB2">
      <w:r>
        <w:tab/>
        <w:t xml:space="preserve">Allgemein • Ladung nach Mode 3 gemäß IEC 61851-1 • Steckvorrichtungen gemäß IEC 62196 • Vorbereitet für ISO 15118 • Max. Ladeleistung: 22 kW • Anschluss: 1-/ 3-phasig • Max. Ladeleistung konfigurierbar   durch Elektrofachkraft • Von außen ablesbarer geeichter   Energiezähler (MID konform) • LED-Statusanzeige • Umschaltung der </w:t>
      </w:r>
      <w:proofErr w:type="spellStart"/>
      <w:r>
        <w:t>Lademodi</w:t>
      </w:r>
      <w:proofErr w:type="spellEnd"/>
      <w:r>
        <w:t xml:space="preserve"> über Taster an der Wallbox • Näherungssensor • Bodenbeleuchtung • Energiesparmodus für einen reduzierten   Standby-Verbrauch • Fest angeschlossenes Ladekabel Typ 2 (7.5 m) • Integrierte Kabelaufhängung • Farbe Front Cover: </w:t>
      </w:r>
      <w:proofErr w:type="spellStart"/>
      <w:r>
        <w:t>midnight</w:t>
      </w:r>
      <w:proofErr w:type="spellEnd"/>
      <w:r>
        <w:t xml:space="preserve"> </w:t>
      </w:r>
      <w:proofErr w:type="spellStart"/>
      <w:r>
        <w:t>black</w:t>
      </w:r>
      <w:proofErr w:type="spellEnd"/>
      <w:r>
        <w:t xml:space="preserve"> • Austauschbares Front Cover  App • AMTRON® 4Drivers App (kostenlos erhältlich)   • Zur Autorisierung, Steuerung und Visualisierung   von Ladevorgängen   • Anzeige der geladenen Energiemenge und der   Energiekosten   • Datenexport aller Ladevorgänge im PDF- und CSV Format   • Verwaltung von Benutzer und RFID-Karten • AMTRON® 4Installers App (kostenlos erhältlich)   • Zur einfachen Inbetriebnahme der Ladestation  Möglichkeiten zur Autorisierung • Autostart (ohne Autorisierung) • RFID (ISO / IEC 14443 A/B)   Kompatibel zu MIFARE classic und MIFARE </w:t>
      </w:r>
      <w:proofErr w:type="spellStart"/>
      <w:r>
        <w:t>DESFire</w:t>
      </w:r>
      <w:proofErr w:type="spellEnd"/>
      <w:r>
        <w:t xml:space="preserve"> • Über ein Backend-System • AMTRON® 4Drivers App  Möglichkeiten zur Vernetzung • Anbindung an ein Netzwerk über LAN / Ethernet (RJ45) • Anbindung an ein Netzwerk über WLAN / WiFi  Möglichkeiten zur Anbindung an ein Backend-System • Über das integrierte Mobilfunkmodem (2G (GSM) / 3G (UMTS) / 4G (LTE))    • Mini-SIM-Karte notwendig • Über LAN / Ethernet (RJ45) und einen externen Router • Unterstützung des Kommunikationsprotokoll OCPP 1.6j  Möglichkeiten zum lokalen Lastmanagement • Reduzierung des Ladestroms über einen externen   Schaltkontakt (Downgrade-Eingang) • Statisches Lastmanagement • Reduzierung des Ladestroms bei ungleichmäßiger   Phasenbelastung (Schieflastbegrenzung) • Solar-Laden durch einen vorgelagerten,   externen Energiezähler   • Solar-Laden für Ladeleistungen von 4,2 - 22 kW • Lokaler </w:t>
      </w:r>
      <w:proofErr w:type="spellStart"/>
      <w:r>
        <w:t>Blackoutschutz</w:t>
      </w:r>
      <w:proofErr w:type="spellEnd"/>
      <w:r>
        <w:t xml:space="preserve"> durch die Anbindung eines   externen Modbus TCP Energiezählers • Das Lastmanagement in Ladeverbünden wird erst nach   dem Verkaufsstart mit einem Update verfügbar sein  Möglichkeiten zur Anbindung an ein externes Energiemanagementsystem (EMS) • Über Modbus TCP • Über </w:t>
      </w:r>
      <w:proofErr w:type="spellStart"/>
      <w:r>
        <w:t>EEBus</w:t>
      </w:r>
      <w:proofErr w:type="spellEnd"/>
      <w:r>
        <w:t xml:space="preserve"> • Dynamische Steuerung des Ladestroms über ein   OCPP-System (Smart </w:t>
      </w:r>
      <w:proofErr w:type="spellStart"/>
      <w:r>
        <w:t>Charging</w:t>
      </w:r>
      <w:proofErr w:type="spellEnd"/>
      <w:r>
        <w:t xml:space="preserve">)  Integrierte Schutzeinrichtungen • DC-Fehlerstromüberwachung &gt; 6 mA  nach IEC 62955 • Fehlerstromschutzschalter muss   vorgelagert installiert werden • Leitungsschutzschalter muss   vorgelagert installiert werden • Schaltausgang für die Ansteuerung eines externen   Arbeitsstromauslösers, um im Fehlerfall (verschweißter   Lastkontakt, </w:t>
      </w:r>
      <w:proofErr w:type="spellStart"/>
      <w:r>
        <w:t>welding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>) den Ladepunkt vom   Netz zu trennen</w:t>
      </w:r>
    </w:p>
    <w:p w14:paraId="45526476" w14:textId="3266CA50" w:rsidR="00FB7080" w:rsidRPr="00B01BB2" w:rsidRDefault="00FB7080" w:rsidP="00B01BB2"/>
    <w:sectPr w:rsidR="00FB7080" w:rsidRPr="00B01B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F3"/>
    <w:rsid w:val="000144EB"/>
    <w:rsid w:val="00064C6C"/>
    <w:rsid w:val="00083EB7"/>
    <w:rsid w:val="000B7533"/>
    <w:rsid w:val="000E1820"/>
    <w:rsid w:val="00164776"/>
    <w:rsid w:val="00172BC5"/>
    <w:rsid w:val="00210EE4"/>
    <w:rsid w:val="002C0552"/>
    <w:rsid w:val="002C7F93"/>
    <w:rsid w:val="0030324E"/>
    <w:rsid w:val="00367BF9"/>
    <w:rsid w:val="0043727C"/>
    <w:rsid w:val="00443E62"/>
    <w:rsid w:val="00535773"/>
    <w:rsid w:val="0056226F"/>
    <w:rsid w:val="005C6B29"/>
    <w:rsid w:val="005E5B3A"/>
    <w:rsid w:val="005F53C1"/>
    <w:rsid w:val="006F0426"/>
    <w:rsid w:val="0071585B"/>
    <w:rsid w:val="008023D1"/>
    <w:rsid w:val="0080364D"/>
    <w:rsid w:val="00846971"/>
    <w:rsid w:val="008932E0"/>
    <w:rsid w:val="008A4388"/>
    <w:rsid w:val="008F5500"/>
    <w:rsid w:val="009642D6"/>
    <w:rsid w:val="009B5275"/>
    <w:rsid w:val="00A738CA"/>
    <w:rsid w:val="00AC6D98"/>
    <w:rsid w:val="00AD32F3"/>
    <w:rsid w:val="00B01BB2"/>
    <w:rsid w:val="00B13528"/>
    <w:rsid w:val="00BE234D"/>
    <w:rsid w:val="00C26DBD"/>
    <w:rsid w:val="00C703BA"/>
    <w:rsid w:val="00C94343"/>
    <w:rsid w:val="00CC0B8F"/>
    <w:rsid w:val="00CC16B7"/>
    <w:rsid w:val="00CE2C27"/>
    <w:rsid w:val="00D97A2C"/>
    <w:rsid w:val="00DC352A"/>
    <w:rsid w:val="00DE0082"/>
    <w:rsid w:val="00E01DB0"/>
    <w:rsid w:val="00E61245"/>
    <w:rsid w:val="00E73EC4"/>
    <w:rsid w:val="00E97DA9"/>
    <w:rsid w:val="00EA0278"/>
    <w:rsid w:val="00F23E04"/>
    <w:rsid w:val="00FA441F"/>
    <w:rsid w:val="00FA45D7"/>
    <w:rsid w:val="00FB7080"/>
    <w:rsid w:val="00FC2AF1"/>
    <w:rsid w:val="00FD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DD3F"/>
  <w15:chartTrackingRefBased/>
  <w15:docId w15:val="{9AA79F7A-5098-4B78-80AD-4B5593D6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32F3"/>
    <w:pPr>
      <w:spacing w:line="278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32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D32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D32F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32F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32F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32F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32F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32F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32F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3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D3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D3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32F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32F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32F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32F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32F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32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D3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3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32F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3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D32F3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ZitatZchn">
    <w:name w:val="Zitat Zchn"/>
    <w:basedOn w:val="Absatz-Standardschriftart"/>
    <w:link w:val="Zitat"/>
    <w:uiPriority w:val="29"/>
    <w:rsid w:val="00AD32F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D32F3"/>
    <w:pPr>
      <w:spacing w:line="259" w:lineRule="auto"/>
      <w:ind w:left="720"/>
      <w:contextualSpacing/>
    </w:pPr>
    <w:rPr>
      <w:sz w:val="22"/>
      <w:szCs w:val="22"/>
    </w:rPr>
  </w:style>
  <w:style w:type="character" w:styleId="IntensiveHervorhebung">
    <w:name w:val="Intense Emphasis"/>
    <w:basedOn w:val="Absatz-Standardschriftart"/>
    <w:uiPriority w:val="21"/>
    <w:qFormat/>
    <w:rsid w:val="00AD32F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3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32F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D32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2376</Characters>
  <Application>Microsoft Office Word</Application>
  <DocSecurity>0</DocSecurity>
  <Lines>19</Lines>
  <Paragraphs>5</Paragraphs>
  <ScaleCrop>false</ScaleCrop>
  <Company>SIBLIK Elektrik Ges.m.b.H u. CO KG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Trapl</dc:creator>
  <cp:keywords/>
  <dc:description/>
  <cp:lastModifiedBy>Nadine Trapl</cp:lastModifiedBy>
  <cp:revision>2</cp:revision>
  <dcterms:created xsi:type="dcterms:W3CDTF">2025-02-24T10:17:00Z</dcterms:created>
  <dcterms:modified xsi:type="dcterms:W3CDTF">2025-02-24T10:17:00Z</dcterms:modified>
</cp:coreProperties>
</file>