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8178" w14:textId="2D51B79D" w:rsidR="003F0076" w:rsidRPr="00EB041F" w:rsidRDefault="003F0076" w:rsidP="003F0076">
      <w:pPr>
        <w:pStyle w:val="Aberschrift"/>
        <w:numPr>
          <w:ilvl w:val="0"/>
          <w:numId w:val="0"/>
        </w:numPr>
        <w:rPr>
          <w:color w:val="262626"/>
        </w:rPr>
      </w:pPr>
      <w:bookmarkStart w:id="0" w:name="_Toc43218166"/>
      <w:r w:rsidRPr="00EB041F">
        <w:rPr>
          <w:color w:val="262626"/>
        </w:rPr>
        <w:t>Homematic IP Temperatur- und Luftfeuchtigkeitssensor – innen</w:t>
      </w:r>
      <w:r w:rsidR="00C01EFE">
        <w:rPr>
          <w:color w:val="262626"/>
        </w:rPr>
        <w:t>, anthrazit</w:t>
      </w:r>
      <w:r w:rsidRPr="00EB041F">
        <w:rPr>
          <w:color w:val="262626"/>
        </w:rPr>
        <w:t xml:space="preserve"> #1</w:t>
      </w:r>
      <w:bookmarkEnd w:id="0"/>
      <w:r w:rsidR="00C01EFE">
        <w:rPr>
          <w:color w:val="262626"/>
        </w:rPr>
        <w:t>60530A0</w:t>
      </w:r>
    </w:p>
    <w:p w14:paraId="627BB368" w14:textId="77777777" w:rsidR="003F0076" w:rsidRPr="00EB041F" w:rsidRDefault="003F0076" w:rsidP="003F0076">
      <w:pPr>
        <w:jc w:val="both"/>
        <w:rPr>
          <w:rFonts w:ascii="Arial" w:hAnsi="Arial" w:cs="Arial"/>
          <w:color w:val="262626"/>
        </w:rPr>
      </w:pPr>
      <w:r w:rsidRPr="00EB041F">
        <w:rPr>
          <w:rFonts w:ascii="Arial" w:hAnsi="Arial" w:cs="Arial"/>
          <w:color w:val="262626"/>
        </w:rPr>
        <w:t xml:space="preserve">Der Homematic IP Temperatur- und Luftfeuchtigkeitssensor ermittelt zuverlässig die Raumtemperatur und Luftfeuchtigkeit innerhalb des Homematic IP Smart-Home-Systems. Die kabellose Sensoreinheit reguliert die Raumtemperatur dabei in Zusammenarbeit mit einem oder mehreren Homematic IP Heizkörperthermostaten oder Homematic IP Fußbodenheizungsaktoren. Dank der Batterieversorgung, welche das Gerät für bis zu zwei Jahre mit Energie versorgt, kann der flache Sensor an nahezu jedem Ort in Funkreichweite montiert werden. Auch in 55er-Einfach- oder Mehrfachrahmen anderer Hersteller findet der Temperatur- und Luftfeuchtigkeitssensor Platz. Das nötige Montagematerial wird selbstverständlich mitgeliefert. Der Homematic IP Temperatur- und Luftfeuchtigkeitssensor kann wahlweise mit dem Access Point in Verbindung mit der Homematic IP App, mit der Zentrale CCU3 sowie mit vielen Partnerlösungen betrieben werden. </w:t>
      </w:r>
    </w:p>
    <w:p w14:paraId="3E9E7C51" w14:textId="77777777" w:rsidR="003F0076" w:rsidRPr="00EB041F" w:rsidRDefault="003F0076" w:rsidP="003F0076">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xml:space="preserve">. Im Download-Bereich ist ein ausführliches Anwenderhandbuch zum Homematic IP System zu finden. </w:t>
      </w:r>
    </w:p>
    <w:p w14:paraId="6113F99A" w14:textId="77777777" w:rsidR="003F0076" w:rsidRPr="00EB041F" w:rsidRDefault="003F0076" w:rsidP="003F0076">
      <w:pPr>
        <w:rPr>
          <w:rFonts w:ascii="Arial" w:hAnsi="Arial" w:cs="Arial"/>
          <w:b/>
          <w:color w:val="262626"/>
        </w:rPr>
      </w:pPr>
      <w:r w:rsidRPr="00EB041F">
        <w:rPr>
          <w:rFonts w:ascii="Arial" w:hAnsi="Arial" w:cs="Arial"/>
          <w:b/>
          <w:color w:val="262626"/>
        </w:rPr>
        <w:t xml:space="preserve">Produkteigenschaften </w:t>
      </w:r>
    </w:p>
    <w:p w14:paraId="565B8267" w14:textId="77777777" w:rsidR="003F0076" w:rsidRPr="00EB041F" w:rsidRDefault="003F0076" w:rsidP="003F0076">
      <w:pPr>
        <w:pStyle w:val="Listenabsatz"/>
        <w:numPr>
          <w:ilvl w:val="0"/>
          <w:numId w:val="17"/>
        </w:numPr>
        <w:spacing w:after="160"/>
        <w:ind w:left="567" w:hanging="567"/>
        <w:rPr>
          <w:rFonts w:ascii="Arial" w:hAnsi="Arial" w:cs="Arial"/>
          <w:color w:val="262626"/>
        </w:rPr>
      </w:pPr>
      <w:r w:rsidRPr="00EB041F">
        <w:rPr>
          <w:rFonts w:ascii="Arial" w:hAnsi="Arial" w:cs="Arial"/>
          <w:color w:val="262626"/>
        </w:rPr>
        <w:t xml:space="preserve">Ermittelt die Temperatur und Luftfeuchtigkeit in Innenräumen. </w:t>
      </w:r>
    </w:p>
    <w:p w14:paraId="0FA6941E" w14:textId="77777777" w:rsidR="003F0076" w:rsidRPr="00EB041F" w:rsidRDefault="003F0076" w:rsidP="003F0076">
      <w:pPr>
        <w:pStyle w:val="Listenabsatz"/>
        <w:spacing w:after="160"/>
        <w:ind w:left="567" w:hanging="567"/>
        <w:rPr>
          <w:rFonts w:ascii="Arial" w:hAnsi="Arial" w:cs="Arial"/>
          <w:color w:val="262626"/>
        </w:rPr>
      </w:pPr>
    </w:p>
    <w:p w14:paraId="048D0F8E" w14:textId="77777777" w:rsidR="003F0076" w:rsidRPr="00EB041F" w:rsidRDefault="003F0076" w:rsidP="003F0076">
      <w:pPr>
        <w:pStyle w:val="Listenabsatz"/>
        <w:numPr>
          <w:ilvl w:val="0"/>
          <w:numId w:val="17"/>
        </w:numPr>
        <w:spacing w:after="160"/>
        <w:ind w:left="567" w:hanging="567"/>
        <w:rPr>
          <w:rFonts w:ascii="Arial" w:hAnsi="Arial" w:cs="Arial"/>
          <w:color w:val="262626"/>
        </w:rPr>
      </w:pPr>
      <w:r w:rsidRPr="00EB041F">
        <w:rPr>
          <w:rFonts w:ascii="Arial" w:hAnsi="Arial" w:cs="Arial"/>
          <w:color w:val="262626"/>
        </w:rPr>
        <w:t xml:space="preserve">Regelt zusammen mit einem oder mehreren Homematic IP Heizkörperthermostaten oder Homematic IP Fußbodenheizungsaktoren die Raumtemperatur. </w:t>
      </w:r>
    </w:p>
    <w:p w14:paraId="329A6718" w14:textId="77777777" w:rsidR="003F0076" w:rsidRPr="00EB041F" w:rsidRDefault="003F0076" w:rsidP="003F0076">
      <w:pPr>
        <w:pStyle w:val="Listenabsatz"/>
        <w:spacing w:after="160"/>
        <w:ind w:left="567" w:hanging="567"/>
        <w:rPr>
          <w:rFonts w:ascii="Arial" w:hAnsi="Arial" w:cs="Arial"/>
          <w:color w:val="262626"/>
        </w:rPr>
      </w:pPr>
    </w:p>
    <w:p w14:paraId="6871D982" w14:textId="77777777" w:rsidR="003F0076" w:rsidRPr="00EB041F" w:rsidRDefault="003F0076" w:rsidP="003F0076">
      <w:pPr>
        <w:pStyle w:val="Listenabsatz"/>
        <w:numPr>
          <w:ilvl w:val="0"/>
          <w:numId w:val="17"/>
        </w:numPr>
        <w:spacing w:after="160"/>
        <w:ind w:left="567" w:hanging="567"/>
        <w:rPr>
          <w:rFonts w:ascii="Arial" w:hAnsi="Arial" w:cs="Arial"/>
          <w:color w:val="262626"/>
        </w:rPr>
      </w:pPr>
      <w:r w:rsidRPr="00EB041F">
        <w:rPr>
          <w:rFonts w:ascii="Arial" w:hAnsi="Arial" w:cs="Arial"/>
          <w:color w:val="262626"/>
        </w:rPr>
        <w:t xml:space="preserve">Lässt sich, dank Funk-Kommunikation und Batterieversorgung, flexibel platzieren und ohne großen Aufwand montieren – benötigtes Montagematerial und Batterien werden mitgeliefert. </w:t>
      </w:r>
    </w:p>
    <w:p w14:paraId="72B24F9A" w14:textId="77777777" w:rsidR="003F0076" w:rsidRPr="00EB041F" w:rsidRDefault="003F0076" w:rsidP="003F0076">
      <w:pPr>
        <w:pStyle w:val="Listenabsatz"/>
        <w:spacing w:after="160"/>
        <w:ind w:left="567" w:hanging="567"/>
        <w:rPr>
          <w:rFonts w:ascii="Arial" w:hAnsi="Arial" w:cs="Arial"/>
          <w:color w:val="262626"/>
        </w:rPr>
      </w:pPr>
    </w:p>
    <w:p w14:paraId="3DA4BF0E" w14:textId="4DC9AA7D" w:rsidR="003F0076" w:rsidRPr="00EB041F" w:rsidRDefault="003F0076" w:rsidP="003F0076">
      <w:pPr>
        <w:pStyle w:val="Listenabsatz"/>
        <w:numPr>
          <w:ilvl w:val="0"/>
          <w:numId w:val="17"/>
        </w:numPr>
        <w:spacing w:after="160"/>
        <w:ind w:left="567" w:hanging="567"/>
        <w:rPr>
          <w:rFonts w:ascii="Arial" w:hAnsi="Arial" w:cs="Arial"/>
          <w:color w:val="262626"/>
        </w:rPr>
      </w:pPr>
      <w:r w:rsidRPr="00EB041F">
        <w:rPr>
          <w:rFonts w:ascii="Arial" w:hAnsi="Arial" w:cs="Arial"/>
          <w:color w:val="262626"/>
        </w:rPr>
        <w:t xml:space="preserve">Integration in 55er-Einfach- oder Mehrfachrahmen anderer Hersteller möglich. </w:t>
      </w:r>
    </w:p>
    <w:p w14:paraId="74425C84" w14:textId="77777777" w:rsidR="003F0076" w:rsidRPr="00EB041F" w:rsidRDefault="003F0076" w:rsidP="003F0076">
      <w:pPr>
        <w:pStyle w:val="Listenabsatz"/>
        <w:rPr>
          <w:rFonts w:ascii="Arial" w:hAnsi="Arial" w:cs="Arial"/>
          <w:color w:val="262626"/>
        </w:rPr>
      </w:pPr>
    </w:p>
    <w:p w14:paraId="30E42B64" w14:textId="5F58F18B" w:rsidR="003F0076" w:rsidRPr="00EB041F" w:rsidRDefault="003F0076" w:rsidP="003F0076">
      <w:pPr>
        <w:pStyle w:val="Listenabsatz"/>
        <w:numPr>
          <w:ilvl w:val="0"/>
          <w:numId w:val="17"/>
        </w:numPr>
        <w:spacing w:after="160"/>
        <w:ind w:left="567" w:hanging="567"/>
        <w:rPr>
          <w:rFonts w:ascii="Arial" w:hAnsi="Arial" w:cs="Arial"/>
          <w:color w:val="262626"/>
        </w:rPr>
      </w:pPr>
      <w:r w:rsidRPr="00EB041F">
        <w:rPr>
          <w:rFonts w:ascii="Arial" w:hAnsi="Arial" w:cs="Arial"/>
          <w:color w:val="262626"/>
        </w:rPr>
        <w:t>Der Betrieb erfordert die Anbindung an eine der folgenden Lösungen: Homematic IP Access Point mit kostenloser App und gebührenfreiem Cloud-Service; Zentrale CCU3 mit lokaler Bedienoberfläche WebUI; Partnerlösungen von Drittanbietern.</w:t>
      </w:r>
    </w:p>
    <w:p w14:paraId="3C61637C" w14:textId="77777777" w:rsidR="003F0076" w:rsidRPr="00EB041F" w:rsidRDefault="003F0076" w:rsidP="003F0076">
      <w:pPr>
        <w:pStyle w:val="Listenabsatz"/>
        <w:spacing w:after="160" w:line="259" w:lineRule="auto"/>
        <w:ind w:left="0"/>
        <w:rPr>
          <w:rFonts w:ascii="Arial" w:hAnsi="Arial" w:cs="Arial"/>
          <w:color w:val="262626"/>
        </w:rPr>
      </w:pPr>
    </w:p>
    <w:p w14:paraId="7F3262CF" w14:textId="77777777" w:rsidR="00426D57" w:rsidRPr="003F0076" w:rsidRDefault="00426D57" w:rsidP="003F0076"/>
    <w:sectPr w:rsidR="00426D57" w:rsidRPr="003F00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4A4679"/>
    <w:multiLevelType w:val="hybridMultilevel"/>
    <w:tmpl w:val="C0A04EE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3C39A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2" w15:restartNumberingAfterBreak="0">
    <w:nsid w:val="51D50F83"/>
    <w:multiLevelType w:val="hybridMultilevel"/>
    <w:tmpl w:val="8230F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6F325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159027">
    <w:abstractNumId w:val="8"/>
  </w:num>
  <w:num w:numId="2" w16cid:durableId="278801537">
    <w:abstractNumId w:val="11"/>
    <w:lvlOverride w:ilvl="0">
      <w:startOverride w:val="1"/>
    </w:lvlOverride>
    <w:lvlOverride w:ilvl="1"/>
    <w:lvlOverride w:ilvl="2"/>
    <w:lvlOverride w:ilvl="3"/>
    <w:lvlOverride w:ilvl="4"/>
    <w:lvlOverride w:ilvl="5"/>
    <w:lvlOverride w:ilvl="6"/>
    <w:lvlOverride w:ilvl="7"/>
    <w:lvlOverride w:ilvl="8"/>
  </w:num>
  <w:num w:numId="3" w16cid:durableId="369307660">
    <w:abstractNumId w:val="5"/>
  </w:num>
  <w:num w:numId="4" w16cid:durableId="1978997267">
    <w:abstractNumId w:val="6"/>
  </w:num>
  <w:num w:numId="5" w16cid:durableId="1597791642">
    <w:abstractNumId w:val="15"/>
  </w:num>
  <w:num w:numId="6" w16cid:durableId="155417752">
    <w:abstractNumId w:val="4"/>
  </w:num>
  <w:num w:numId="7" w16cid:durableId="1981034841">
    <w:abstractNumId w:val="14"/>
  </w:num>
  <w:num w:numId="8" w16cid:durableId="343485807">
    <w:abstractNumId w:val="1"/>
  </w:num>
  <w:num w:numId="9" w16cid:durableId="1037510087">
    <w:abstractNumId w:val="10"/>
  </w:num>
  <w:num w:numId="10" w16cid:durableId="2070225062">
    <w:abstractNumId w:val="2"/>
  </w:num>
  <w:num w:numId="11" w16cid:durableId="1519615184">
    <w:abstractNumId w:val="3"/>
  </w:num>
  <w:num w:numId="12" w16cid:durableId="400909881">
    <w:abstractNumId w:val="13"/>
  </w:num>
  <w:num w:numId="13" w16cid:durableId="333146866">
    <w:abstractNumId w:val="0"/>
  </w:num>
  <w:num w:numId="14" w16cid:durableId="1631284720">
    <w:abstractNumId w:val="12"/>
  </w:num>
  <w:num w:numId="15" w16cid:durableId="295140239">
    <w:abstractNumId w:val="9"/>
  </w:num>
  <w:num w:numId="16" w16cid:durableId="829293940">
    <w:abstractNumId w:val="16"/>
  </w:num>
  <w:num w:numId="17" w16cid:durableId="1815557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80A28"/>
    <w:rsid w:val="002016FE"/>
    <w:rsid w:val="0022092A"/>
    <w:rsid w:val="0022132B"/>
    <w:rsid w:val="00264F2C"/>
    <w:rsid w:val="003431BB"/>
    <w:rsid w:val="003F0076"/>
    <w:rsid w:val="00426D57"/>
    <w:rsid w:val="004C18B5"/>
    <w:rsid w:val="00614D39"/>
    <w:rsid w:val="006C52E1"/>
    <w:rsid w:val="00735F1F"/>
    <w:rsid w:val="00745AF5"/>
    <w:rsid w:val="008C1FB1"/>
    <w:rsid w:val="00974035"/>
    <w:rsid w:val="00A971E5"/>
    <w:rsid w:val="00B21B1F"/>
    <w:rsid w:val="00C01EFE"/>
    <w:rsid w:val="00C153CD"/>
    <w:rsid w:val="00D44A09"/>
    <w:rsid w:val="00EA348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897"/>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2DEB0-A602-4F49-80BE-8D4CC73B85DE}"/>
</file>

<file path=customXml/itemProps2.xml><?xml version="1.0" encoding="utf-8"?>
<ds:datastoreItem xmlns:ds="http://schemas.openxmlformats.org/officeDocument/2006/customXml" ds:itemID="{338B55C5-1E5C-44C7-B817-9E65838F3F63}"/>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Speckmeyer, Rainer</cp:lastModifiedBy>
  <cp:revision>5</cp:revision>
  <dcterms:created xsi:type="dcterms:W3CDTF">2020-06-19T06:34:00Z</dcterms:created>
  <dcterms:modified xsi:type="dcterms:W3CDTF">2024-06-26T12:16:00Z</dcterms:modified>
</cp:coreProperties>
</file>