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987D0" w14:textId="479DB46F" w:rsidR="005F66BE" w:rsidRDefault="005F66BE" w:rsidP="00621A9F">
      <w:pPr>
        <w:spacing w:after="120" w:line="360" w:lineRule="auto"/>
        <w:rPr>
          <w:rFonts w:ascii="Helvetica" w:eastAsia="Times New Roman" w:hAnsi="Helvetica" w:cs="Times New Roman"/>
          <w:b/>
          <w:lang w:val="de-DE" w:eastAsia="de-DE"/>
        </w:rPr>
      </w:pPr>
      <w:r w:rsidRPr="005F66BE">
        <w:rPr>
          <w:rFonts w:ascii="Helvetica" w:eastAsia="Times New Roman" w:hAnsi="Helvetica" w:cs="Times New Roman"/>
          <w:b/>
          <w:lang w:val="de-DE" w:eastAsia="de-DE"/>
        </w:rPr>
        <w:t>Presseinformation</w:t>
      </w:r>
    </w:p>
    <w:p w14:paraId="451BE697" w14:textId="77777777" w:rsidR="003777FC" w:rsidRPr="005F66BE" w:rsidRDefault="003777FC" w:rsidP="00621A9F">
      <w:pPr>
        <w:spacing w:after="120" w:line="360" w:lineRule="auto"/>
        <w:rPr>
          <w:rFonts w:ascii="Helvetica" w:eastAsia="Times New Roman" w:hAnsi="Helvetica" w:cs="Times New Roman"/>
          <w:b/>
          <w:lang w:val="de-DE" w:eastAsia="de-DE"/>
        </w:rPr>
      </w:pPr>
    </w:p>
    <w:p w14:paraId="7461C339" w14:textId="3045895C" w:rsidR="00D633C9" w:rsidRPr="00D633C9" w:rsidRDefault="006311AE" w:rsidP="000A36BA">
      <w:pPr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sz w:val="32"/>
          <w:szCs w:val="32"/>
          <w:lang w:val="de-DE"/>
        </w:rPr>
        <w:t>Siblik:</w:t>
      </w:r>
      <w:r w:rsidR="00D633C9">
        <w:rPr>
          <w:rFonts w:ascii="Arial" w:hAnsi="Arial"/>
          <w:b/>
          <w:sz w:val="32"/>
          <w:szCs w:val="32"/>
          <w:lang w:val="de-DE"/>
        </w:rPr>
        <w:t xml:space="preserve"> </w:t>
      </w:r>
      <w:r w:rsidR="000A36BA">
        <w:rPr>
          <w:rFonts w:ascii="Arial" w:hAnsi="Arial"/>
          <w:b/>
          <w:sz w:val="32"/>
          <w:szCs w:val="32"/>
          <w:lang w:val="de-DE"/>
        </w:rPr>
        <w:t>WHD mit der Audioausstattung für Kreuzfahrtschiffe beauftragt</w:t>
      </w:r>
    </w:p>
    <w:p w14:paraId="5A6A1941" w14:textId="2B67BB5C" w:rsidR="00B05F9A" w:rsidRDefault="00B05F9A" w:rsidP="00621A9F">
      <w:pPr>
        <w:spacing w:after="0" w:line="288" w:lineRule="auto"/>
        <w:rPr>
          <w:rFonts w:ascii="Arial" w:hAnsi="Arial"/>
          <w:b/>
          <w:sz w:val="32"/>
          <w:szCs w:val="32"/>
          <w:lang w:val="de-DE"/>
        </w:rPr>
      </w:pPr>
    </w:p>
    <w:p w14:paraId="2C7861FF" w14:textId="77777777" w:rsidR="000A36BA" w:rsidRDefault="000A36BA" w:rsidP="000A36BA">
      <w:pPr>
        <w:pStyle w:val="TextA"/>
        <w:rPr>
          <w:b/>
          <w:bCs/>
        </w:rPr>
      </w:pPr>
      <w:r>
        <w:rPr>
          <w:b/>
          <w:bCs/>
        </w:rPr>
        <w:t>Großer Klang für große Schiffe</w:t>
      </w:r>
    </w:p>
    <w:p w14:paraId="76B35873" w14:textId="77777777" w:rsidR="000A36BA" w:rsidRDefault="000A36BA" w:rsidP="00D633C9">
      <w:pPr>
        <w:rPr>
          <w:rFonts w:ascii="Calibri" w:hAnsi="Calibri" w:cs="Calibri"/>
          <w:color w:val="000000"/>
          <w:sz w:val="24"/>
          <w:lang w:val="en-GB"/>
        </w:rPr>
      </w:pPr>
    </w:p>
    <w:p w14:paraId="3ACF2409" w14:textId="77777777" w:rsidR="000A36BA" w:rsidRDefault="000A36BA" w:rsidP="000A36BA">
      <w:pPr>
        <w:pStyle w:val="TextA"/>
        <w:rPr>
          <w:b/>
          <w:bCs/>
        </w:rPr>
      </w:pPr>
      <w:r>
        <w:rPr>
          <w:b/>
          <w:bCs/>
        </w:rPr>
        <w:t>WHD liefert spezielle Lautsprecher für die Deck- und Balkon-Beschallung</w:t>
      </w:r>
    </w:p>
    <w:p w14:paraId="37A63760" w14:textId="77777777" w:rsidR="000A36BA" w:rsidRDefault="000A36BA" w:rsidP="000A36BA">
      <w:pPr>
        <w:pStyle w:val="TextA"/>
        <w:rPr>
          <w:b/>
          <w:bCs/>
        </w:rPr>
      </w:pPr>
      <w:r>
        <w:rPr>
          <w:b/>
          <w:bCs/>
        </w:rPr>
        <w:t>von neuen Kreuzfahrtschiffen.</w:t>
      </w:r>
    </w:p>
    <w:p w14:paraId="2154496F" w14:textId="77777777" w:rsidR="000A36BA" w:rsidRDefault="000A36BA" w:rsidP="00D633C9">
      <w:pPr>
        <w:rPr>
          <w:rFonts w:ascii="Calibri" w:hAnsi="Calibri" w:cs="Calibri"/>
          <w:color w:val="000000"/>
          <w:sz w:val="24"/>
          <w:lang w:val="en-GB"/>
        </w:rPr>
      </w:pPr>
    </w:p>
    <w:p w14:paraId="7B323E55" w14:textId="33DCBB1A" w:rsidR="000A36BA" w:rsidRDefault="000A36BA" w:rsidP="000A36BA">
      <w:pPr>
        <w:pStyle w:val="TextA"/>
      </w:pPr>
      <w:r>
        <w:t>Der Boom der Kreuzfahrtbranche scheint kein Ende zu nehmen, immer mehr Passagiere setzen auf Entspannung, Erholung und Entertainment auf hoher See. Hierfür ist WHD mit seinen Audio-Lösung</w:t>
      </w:r>
      <w:r>
        <w:t xml:space="preserve">en bereits seit Jahren gerüstet. </w:t>
      </w:r>
      <w:r>
        <w:t>Damit die Gäste auch an Deck in den Genuss von hochwertigem Sound kommen, müssen neben einer sehr hohen Klangqualität auch Themen wie Seewasserbeständigkeit berücksichtigt werden. Seewasserbeständig, bewährt und optimiert: Der AL 10 von WHD. Daher werden nun auch auf der MEYER WERFT für weitere Kreuzfahrtschiffe der Lautsprecher AL 10 von WHD, eine kompakte seewasserfeste und wetterbeständige Tonsäule, eingeplant.</w:t>
      </w:r>
    </w:p>
    <w:p w14:paraId="7EA72A00" w14:textId="77777777" w:rsidR="000A36BA" w:rsidRDefault="000A36BA" w:rsidP="00D633C9">
      <w:pPr>
        <w:rPr>
          <w:b/>
        </w:rPr>
      </w:pPr>
    </w:p>
    <w:p w14:paraId="69646AB0" w14:textId="2F876744" w:rsidR="00EF4525" w:rsidRDefault="00EF4525" w:rsidP="00EF4525">
      <w:pPr>
        <w:pStyle w:val="TextA"/>
        <w:rPr>
          <w:b/>
          <w:bCs/>
        </w:rPr>
      </w:pPr>
      <w:r>
        <w:rPr>
          <w:b/>
          <w:bCs/>
        </w:rPr>
        <w:t>Eine bewährte Zusammenarbeit</w:t>
      </w:r>
    </w:p>
    <w:p w14:paraId="4C5DC78A" w14:textId="77777777" w:rsidR="00EF4525" w:rsidRDefault="00EF4525" w:rsidP="00EF4525">
      <w:pPr>
        <w:pStyle w:val="TextA"/>
      </w:pPr>
    </w:p>
    <w:p w14:paraId="2D878E53" w14:textId="35CFED95" w:rsidR="00EF4525" w:rsidRDefault="00EF4525" w:rsidP="00EF4525">
      <w:pPr>
        <w:pStyle w:val="TextA"/>
      </w:pPr>
      <w:r>
        <w:t xml:space="preserve">Bereits bestehende Kontakte zu einem </w:t>
      </w:r>
      <w:r>
        <w:t xml:space="preserve">Spezialisten für Kommunikationssysteme </w:t>
      </w:r>
      <w:r>
        <w:t xml:space="preserve">legte die Zusammenarbeit nahe. </w:t>
      </w:r>
      <w:r>
        <w:t>S</w:t>
      </w:r>
      <w:r>
        <w:t xml:space="preserve">peziell im Passagierschiffbau. </w:t>
      </w:r>
      <w:proofErr w:type="spellStart"/>
      <w:r>
        <w:t>Wärtsilä</w:t>
      </w:r>
      <w:proofErr w:type="spellEnd"/>
      <w:r>
        <w:t xml:space="preserve"> FUNA</w:t>
      </w:r>
      <w:r>
        <w:t xml:space="preserve"> ist</w:t>
      </w:r>
      <w:r>
        <w:t xml:space="preserve"> Innovationstreiber und Vorreiter für die Verbindung von hochwertigem Design mit innovativer Technik. MEYER WERFT und </w:t>
      </w:r>
      <w:proofErr w:type="spellStart"/>
      <w:r>
        <w:t>Wärtsilä</w:t>
      </w:r>
      <w:proofErr w:type="spellEnd"/>
      <w:r>
        <w:t xml:space="preserve"> FUNA schätzen die Qualität und die Flexibilität von WHD. </w:t>
      </w:r>
      <w:r>
        <w:t xml:space="preserve">Auf der anderen Seite sieht sich </w:t>
      </w:r>
      <w:r>
        <w:t xml:space="preserve">WHD nicht nur als ein Lieferant, sondern als der Lösungspartner und Innovator. </w:t>
      </w:r>
      <w:r>
        <w:t>Naheliegend, dass hier</w:t>
      </w:r>
      <w:r>
        <w:t xml:space="preserve"> zukünftig eine enge Partnerschaft an</w:t>
      </w:r>
      <w:r>
        <w:t>gestrebt wird</w:t>
      </w:r>
      <w:r>
        <w:t>, um gemeinsame innovative Lösungen zu entwickeln und Produkte für die Unterhaltungsbranche neu zu gestalten - für ein hochwertiges Klangerlebnis zu Wasser und zu Land.</w:t>
      </w:r>
    </w:p>
    <w:p w14:paraId="446BC218" w14:textId="77777777" w:rsidR="00EF4525" w:rsidRDefault="00EF4525" w:rsidP="00EF4525">
      <w:pPr>
        <w:pStyle w:val="TextA"/>
      </w:pPr>
    </w:p>
    <w:p w14:paraId="2C449ADF" w14:textId="77777777" w:rsidR="00EF4525" w:rsidRDefault="00EF4525" w:rsidP="00EF4525">
      <w:pPr>
        <w:pStyle w:val="TextA"/>
        <w:rPr>
          <w:b/>
          <w:bCs/>
        </w:rPr>
      </w:pPr>
      <w:r>
        <w:rPr>
          <w:b/>
          <w:bCs/>
        </w:rPr>
        <w:t>Expertise in Großprojekten</w:t>
      </w:r>
    </w:p>
    <w:p w14:paraId="5EF62B16" w14:textId="77777777" w:rsidR="00EF4525" w:rsidRDefault="00EF4525" w:rsidP="00EF4525">
      <w:pPr>
        <w:pStyle w:val="TextA"/>
        <w:rPr>
          <w:b/>
          <w:bCs/>
        </w:rPr>
      </w:pPr>
    </w:p>
    <w:p w14:paraId="24DFCF2C" w14:textId="77777777" w:rsidR="00EF4525" w:rsidRDefault="00EF4525" w:rsidP="00EF4525">
      <w:pPr>
        <w:pStyle w:val="TextA"/>
      </w:pPr>
      <w:r>
        <w:t xml:space="preserve">Für WHD sind Projekte dieser Größe keine Ausnahme - neben dem John F. Kennedy International Airport New York, der Allianz Arena München oder der Elbphilharmonie Hamburg beweist WHD mit seinem </w:t>
      </w:r>
      <w:proofErr w:type="spellStart"/>
      <w:r>
        <w:t>Know-How</w:t>
      </w:r>
      <w:proofErr w:type="spellEnd"/>
      <w:r>
        <w:t xml:space="preserve"> stets ein Gespür für hochwertige Beschallungs-Lösungen, insbesondere wenn es um individuelle Anfertigungen geht.</w:t>
      </w:r>
    </w:p>
    <w:p w14:paraId="78D2A5AB" w14:textId="77777777" w:rsidR="00EF4525" w:rsidRDefault="00EF4525" w:rsidP="00EF4525">
      <w:pPr>
        <w:pStyle w:val="TextA"/>
      </w:pPr>
    </w:p>
    <w:p w14:paraId="3B96F480" w14:textId="4FCBEEE2" w:rsidR="00EF4525" w:rsidRDefault="00EF4525">
      <w:pPr>
        <w:rPr>
          <w:b/>
        </w:rPr>
      </w:pPr>
      <w:r>
        <w:rPr>
          <w:b/>
        </w:rPr>
        <w:br w:type="page"/>
      </w:r>
    </w:p>
    <w:p w14:paraId="7294E5AB" w14:textId="77777777" w:rsidR="00EF4525" w:rsidRPr="00EF4525" w:rsidRDefault="00D633C9" w:rsidP="00EF4525">
      <w:pP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D72FCF">
        <w:rPr>
          <w:b/>
        </w:rPr>
        <w:lastRenderedPageBreak/>
        <w:t xml:space="preserve">Bild 1: </w:t>
      </w:r>
      <w:r w:rsidR="00EF4525" w:rsidRPr="00EF4525">
        <w:rPr>
          <w:rFonts w:ascii="Helvetica Neue" w:eastAsia="Times New Roman" w:hAnsi="Helvetica Neue" w:cs="Times New Roman"/>
          <w:i/>
          <w:iCs/>
          <w:color w:val="242424"/>
          <w:sz w:val="21"/>
          <w:szCs w:val="21"/>
          <w:shd w:val="clear" w:color="auto" w:fill="FFFFFF"/>
          <w:lang w:val="de-DE" w:eastAsia="de-DE"/>
        </w:rPr>
        <w:t xml:space="preserve">Auf Wachstumskurs: WHD erhält Auftrag für die Audio-Ausstattung für weitere Kreuzfahrtschiffen von </w:t>
      </w:r>
      <w:proofErr w:type="spellStart"/>
      <w:r w:rsidR="00EF4525" w:rsidRPr="00EF4525">
        <w:rPr>
          <w:rFonts w:ascii="Helvetica Neue" w:eastAsia="Times New Roman" w:hAnsi="Helvetica Neue" w:cs="Times New Roman"/>
          <w:i/>
          <w:iCs/>
          <w:color w:val="242424"/>
          <w:sz w:val="21"/>
          <w:szCs w:val="21"/>
          <w:shd w:val="clear" w:color="auto" w:fill="FFFFFF"/>
          <w:lang w:val="de-DE" w:eastAsia="de-DE"/>
        </w:rPr>
        <w:t>Wärtsilä</w:t>
      </w:r>
      <w:proofErr w:type="spellEnd"/>
      <w:r w:rsidR="00EF4525" w:rsidRPr="00EF4525">
        <w:rPr>
          <w:rFonts w:ascii="Helvetica Neue" w:eastAsia="Times New Roman" w:hAnsi="Helvetica Neue" w:cs="Times New Roman"/>
          <w:i/>
          <w:iCs/>
          <w:color w:val="242424"/>
          <w:sz w:val="21"/>
          <w:szCs w:val="21"/>
          <w:shd w:val="clear" w:color="auto" w:fill="FFFFFF"/>
          <w:lang w:val="de-DE" w:eastAsia="de-DE"/>
        </w:rPr>
        <w:t xml:space="preserve"> FUNA aus Emden</w:t>
      </w:r>
    </w:p>
    <w:p w14:paraId="0976851D" w14:textId="35BC192B" w:rsidR="00EF4525" w:rsidRPr="00EF4525" w:rsidRDefault="00EF4525" w:rsidP="00EF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F4525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4C12D4B2" wp14:editId="5F29F85B">
            <wp:extent cx="3098072" cy="2326640"/>
            <wp:effectExtent l="0" t="0" r="1270" b="10160"/>
            <wp:docPr id="5" name="Bild 5" descr="https://resources.mynewsdesk.com/image/upload/c_limit,dpr_1.0,f_auto,h_700,q_auto,w_670/rith4zrmkckje53xyd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ources.mynewsdesk.com/image/upload/c_limit,dpr_1.0,f_auto,h_700,q_auto,w_670/rith4zrmkckje53xyd9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187" cy="23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2210" w14:textId="3E04619D" w:rsidR="00D633C9" w:rsidRPr="00EF4525" w:rsidRDefault="00EF4525" w:rsidP="00D633C9">
      <w:pPr>
        <w:rPr>
          <w:i/>
        </w:rPr>
      </w:pPr>
      <w:r w:rsidRPr="00EF4525">
        <w:rPr>
          <w:i/>
        </w:rPr>
        <w:t>Foto: AIDA Cruises</w:t>
      </w:r>
    </w:p>
    <w:p w14:paraId="30D8FB40" w14:textId="626C352F" w:rsidR="00D633C9" w:rsidRPr="00D72FCF" w:rsidRDefault="00D633C9" w:rsidP="00D633C9">
      <w:pPr>
        <w:rPr>
          <w:b/>
        </w:rPr>
      </w:pPr>
      <w:r w:rsidRPr="00D72FCF">
        <w:rPr>
          <w:b/>
        </w:rPr>
        <w:t xml:space="preserve">Bild 2: </w:t>
      </w:r>
      <w:r w:rsidR="00EF4525" w:rsidRPr="00EF4525">
        <w:rPr>
          <w:i/>
        </w:rPr>
        <w:t>WHD AL 10 – Seewasserbeständig, bewährt und optimiert</w:t>
      </w:r>
    </w:p>
    <w:p w14:paraId="2A8EFE53" w14:textId="6C4136FF" w:rsidR="00EF4525" w:rsidRPr="00EF4525" w:rsidRDefault="00EF4525" w:rsidP="00EF4525">
      <w:pPr>
        <w:spacing w:after="0" w:line="240" w:lineRule="auto"/>
        <w:rPr>
          <w:i/>
        </w:rPr>
      </w:pPr>
      <w:r w:rsidRPr="00EF4525">
        <w:rPr>
          <w:i/>
        </w:rPr>
        <w:drawing>
          <wp:inline distT="0" distB="0" distL="0" distR="0" wp14:anchorId="08908019" wp14:editId="08224F7D">
            <wp:extent cx="484505" cy="1475740"/>
            <wp:effectExtent l="0" t="0" r="0" b="0"/>
            <wp:docPr id="8" name="Bild 8" descr="https://www.siblik.com/fileadmin/_processed_/f/1/csm_DV03_1030_1003_00103_Bild_5235480f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blik.com/fileadmin/_processed_/f/1/csm_DV03_1030_1003_00103_Bild_5235480f6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6" cy="14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525">
        <w:rPr>
          <w:i/>
        </w:rPr>
        <w:br/>
        <w:t>Foto: Siblik Elektrik GmbH &amp; Co KG</w:t>
      </w:r>
    </w:p>
    <w:p w14:paraId="1F904C63" w14:textId="77777777" w:rsidR="00D633C9" w:rsidRDefault="00D633C9" w:rsidP="00621A9F">
      <w:pPr>
        <w:pStyle w:val="KeinLeerraum"/>
        <w:spacing w:line="312" w:lineRule="auto"/>
        <w:rPr>
          <w:rFonts w:cs="Arial"/>
          <w:sz w:val="22"/>
          <w:lang w:val="de-DE"/>
        </w:rPr>
      </w:pPr>
    </w:p>
    <w:p w14:paraId="0AC2A7B0" w14:textId="77777777" w:rsidR="007C2EA8" w:rsidRDefault="007C2EA8" w:rsidP="00621A9F">
      <w:pPr>
        <w:pBdr>
          <w:bottom w:val="single" w:sz="4" w:space="1" w:color="auto"/>
        </w:pBdr>
      </w:pPr>
      <w:bookmarkStart w:id="0" w:name="_GoBack"/>
      <w:bookmarkEnd w:id="0"/>
    </w:p>
    <w:p w14:paraId="68A7D4BD" w14:textId="77777777" w:rsidR="00150CE3" w:rsidRDefault="00150CE3" w:rsidP="00621A9F">
      <w:pPr>
        <w:spacing w:after="0" w:line="360" w:lineRule="auto"/>
        <w:rPr>
          <w:rFonts w:eastAsia="Times New Roman"/>
          <w:b/>
          <w:bCs/>
          <w:sz w:val="20"/>
          <w:szCs w:val="20"/>
          <w:lang w:eastAsia="de-DE"/>
        </w:rPr>
      </w:pPr>
    </w:p>
    <w:p w14:paraId="099953A5" w14:textId="77777777" w:rsidR="00150CE3" w:rsidRPr="00A707EF" w:rsidRDefault="00150CE3" w:rsidP="00621A9F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A707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SIBLIK. Wir schalten schneller</w:t>
      </w:r>
      <w:r w:rsidR="007C6418" w:rsidRPr="00A707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.</w:t>
      </w:r>
    </w:p>
    <w:p w14:paraId="5A2A9384" w14:textId="554CFF37" w:rsidR="00150CE3" w:rsidRPr="00A707EF" w:rsidRDefault="00150CE3" w:rsidP="00621A9F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707EF">
        <w:rPr>
          <w:rFonts w:ascii="Arial" w:hAnsi="Arial" w:cs="Arial"/>
          <w:sz w:val="20"/>
          <w:szCs w:val="20"/>
        </w:rPr>
        <w:t>Siblik</w:t>
      </w:r>
      <w:proofErr w:type="spellEnd"/>
      <w:r w:rsidRPr="00A707EF">
        <w:rPr>
          <w:rFonts w:ascii="Arial" w:hAnsi="Arial" w:cs="Arial"/>
          <w:sz w:val="20"/>
          <w:szCs w:val="20"/>
        </w:rPr>
        <w:t xml:space="preserve"> Elektrik ist ein österreichweit tätiges Unternehmen mit Hauptsitz in Wien. Namhafte in- und ausländische Hersteller aus der Elektro- und Haustechnik-Branche sind eng mit </w:t>
      </w:r>
      <w:proofErr w:type="spellStart"/>
      <w:r w:rsidRPr="00A707EF">
        <w:rPr>
          <w:rFonts w:ascii="Arial" w:hAnsi="Arial" w:cs="Arial"/>
          <w:sz w:val="20"/>
          <w:szCs w:val="20"/>
        </w:rPr>
        <w:t>Siblik</w:t>
      </w:r>
      <w:proofErr w:type="spellEnd"/>
      <w:r w:rsidRPr="00A707EF">
        <w:rPr>
          <w:rFonts w:ascii="Arial" w:hAnsi="Arial" w:cs="Arial"/>
          <w:sz w:val="20"/>
          <w:szCs w:val="20"/>
        </w:rPr>
        <w:t xml:space="preserve"> verbunden und werden exklusiv in Österreich vertreten. Das traditionsreiche Unternehmen wurde 1938 gegründet und blickt somit auf </w:t>
      </w:r>
      <w:r w:rsidR="00D633C9">
        <w:rPr>
          <w:rFonts w:ascii="Arial" w:hAnsi="Arial" w:cs="Arial"/>
          <w:sz w:val="20"/>
          <w:szCs w:val="20"/>
        </w:rPr>
        <w:t>über</w:t>
      </w:r>
      <w:r w:rsidRPr="00A707EF">
        <w:rPr>
          <w:rFonts w:ascii="Arial" w:hAnsi="Arial" w:cs="Arial"/>
          <w:sz w:val="20"/>
          <w:szCs w:val="20"/>
        </w:rPr>
        <w:t xml:space="preserve"> </w:t>
      </w:r>
      <w:r w:rsidR="007026F7" w:rsidRPr="00A707EF">
        <w:rPr>
          <w:rFonts w:ascii="Arial" w:hAnsi="Arial" w:cs="Arial"/>
          <w:sz w:val="20"/>
          <w:szCs w:val="20"/>
        </w:rPr>
        <w:t>80</w:t>
      </w:r>
      <w:r w:rsidRPr="00A707EF">
        <w:rPr>
          <w:rFonts w:ascii="Arial" w:hAnsi="Arial" w:cs="Arial"/>
          <w:sz w:val="20"/>
          <w:szCs w:val="20"/>
        </w:rPr>
        <w:t xml:space="preserve"> Jahre Handelsvertretung zurück. Heute beschäftigt </w:t>
      </w:r>
      <w:proofErr w:type="spellStart"/>
      <w:r w:rsidRPr="00A707EF">
        <w:rPr>
          <w:rFonts w:ascii="Arial" w:hAnsi="Arial" w:cs="Arial"/>
          <w:sz w:val="20"/>
          <w:szCs w:val="20"/>
        </w:rPr>
        <w:t>Siblik</w:t>
      </w:r>
      <w:proofErr w:type="spellEnd"/>
      <w:r w:rsidRPr="00A707EF">
        <w:rPr>
          <w:rFonts w:ascii="Arial" w:hAnsi="Arial" w:cs="Arial"/>
          <w:sz w:val="20"/>
          <w:szCs w:val="20"/>
        </w:rPr>
        <w:t xml:space="preserve"> Elektrik über 1</w:t>
      </w:r>
      <w:r w:rsidR="00D633C9">
        <w:rPr>
          <w:rFonts w:ascii="Arial" w:hAnsi="Arial" w:cs="Arial"/>
          <w:sz w:val="20"/>
          <w:szCs w:val="20"/>
        </w:rPr>
        <w:t>3</w:t>
      </w:r>
      <w:r w:rsidRPr="00A707EF">
        <w:rPr>
          <w:rFonts w:ascii="Arial" w:hAnsi="Arial" w:cs="Arial"/>
          <w:sz w:val="20"/>
          <w:szCs w:val="20"/>
        </w:rPr>
        <w:t xml:space="preserve">0 </w:t>
      </w:r>
      <w:proofErr w:type="spellStart"/>
      <w:r w:rsidRPr="00A707EF">
        <w:rPr>
          <w:rFonts w:ascii="Arial" w:hAnsi="Arial" w:cs="Arial"/>
          <w:sz w:val="20"/>
          <w:szCs w:val="20"/>
        </w:rPr>
        <w:t>Mitarbeiter</w:t>
      </w:r>
      <w:r w:rsidR="007026F7" w:rsidRPr="00A707EF">
        <w:rPr>
          <w:rFonts w:ascii="Arial" w:hAnsi="Arial" w:cs="Arial"/>
          <w:sz w:val="20"/>
          <w:szCs w:val="20"/>
        </w:rPr>
        <w:t>Innen</w:t>
      </w:r>
      <w:proofErr w:type="spellEnd"/>
      <w:r w:rsidRPr="00A707EF">
        <w:rPr>
          <w:rFonts w:ascii="Arial" w:hAnsi="Arial" w:cs="Arial"/>
          <w:sz w:val="20"/>
          <w:szCs w:val="20"/>
        </w:rPr>
        <w:t xml:space="preserve"> an 4 Standorten, in Wien, Graz, Vöcklabruck und Innsbruck.</w:t>
      </w:r>
    </w:p>
    <w:p w14:paraId="2E6A2019" w14:textId="77777777" w:rsidR="00150CE3" w:rsidRPr="00A707EF" w:rsidRDefault="00150CE3" w:rsidP="00621A9F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85E1D33" w14:textId="77777777" w:rsidR="00150CE3" w:rsidRPr="00A707EF" w:rsidRDefault="00150CE3" w:rsidP="00621A9F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A707EF">
        <w:rPr>
          <w:rFonts w:ascii="Arial" w:eastAsia="Times New Roman" w:hAnsi="Arial" w:cs="Arial"/>
          <w:sz w:val="20"/>
          <w:szCs w:val="20"/>
          <w:lang w:eastAsia="de-DE"/>
        </w:rPr>
        <w:t xml:space="preserve">Mehr Informationen unter </w:t>
      </w:r>
      <w:hyperlink r:id="rId9" w:history="1">
        <w:r w:rsidRPr="00A707EF">
          <w:rPr>
            <w:rStyle w:val="Link"/>
            <w:rFonts w:ascii="Arial" w:eastAsia="Times New Roman" w:hAnsi="Arial" w:cs="Arial"/>
            <w:sz w:val="20"/>
            <w:szCs w:val="20"/>
            <w:lang w:eastAsia="de-DE"/>
          </w:rPr>
          <w:t>www.siblik.com</w:t>
        </w:r>
      </w:hyperlink>
      <w:r w:rsidRPr="00A707E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0D92F743" w14:textId="77777777" w:rsidR="00150CE3" w:rsidRPr="00A707EF" w:rsidRDefault="00150CE3" w:rsidP="00621A9F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14:paraId="5A246EA0" w14:textId="77777777" w:rsidR="00150CE3" w:rsidRPr="00A707EF" w:rsidRDefault="00150CE3" w:rsidP="00621A9F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A707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Pressekontakt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8"/>
        <w:gridCol w:w="4039"/>
      </w:tblGrid>
      <w:tr w:rsidR="00150CE3" w:rsidRPr="00A707EF" w14:paraId="5293BF37" w14:textId="77777777" w:rsidTr="00150CE3">
        <w:tc>
          <w:tcPr>
            <w:tcW w:w="4038" w:type="dxa"/>
            <w:hideMark/>
          </w:tcPr>
          <w:p w14:paraId="42B4CD30" w14:textId="77777777" w:rsidR="00150CE3" w:rsidRPr="00A707EF" w:rsidRDefault="00150CE3" w:rsidP="0062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</w:pPr>
            <w:proofErr w:type="spellStart"/>
            <w:r w:rsidRPr="00A707EF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Siblik</w:t>
            </w:r>
            <w:proofErr w:type="spellEnd"/>
            <w:r w:rsidRPr="00A707EF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A707EF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Elektrik</w:t>
            </w:r>
            <w:proofErr w:type="spellEnd"/>
            <w:r w:rsidRPr="00A707EF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F733D9" w:rsidRPr="00A707EF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GmbH</w:t>
            </w:r>
            <w:proofErr w:type="spellEnd"/>
            <w:r w:rsidRPr="00A707EF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 &amp; Co. KG</w:t>
            </w:r>
          </w:p>
          <w:p w14:paraId="2D3074D8" w14:textId="77777777" w:rsidR="00150CE3" w:rsidRPr="00A707EF" w:rsidRDefault="00DD1742" w:rsidP="0062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+43 676 830060</w:t>
            </w:r>
          </w:p>
          <w:p w14:paraId="36FF441B" w14:textId="77777777" w:rsidR="00150CE3" w:rsidRPr="00A707EF" w:rsidRDefault="00150CE3" w:rsidP="0062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</w:pPr>
            <w:r w:rsidRPr="00A707EF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pr@siblik.com</w:t>
            </w:r>
          </w:p>
        </w:tc>
        <w:tc>
          <w:tcPr>
            <w:tcW w:w="4039" w:type="dxa"/>
          </w:tcPr>
          <w:p w14:paraId="79E49E24" w14:textId="77777777" w:rsidR="00150CE3" w:rsidRPr="00A707EF" w:rsidRDefault="00150CE3" w:rsidP="0062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</w:pPr>
          </w:p>
        </w:tc>
      </w:tr>
    </w:tbl>
    <w:p w14:paraId="016877C1" w14:textId="660DD55B" w:rsidR="000C347C" w:rsidRPr="00A707EF" w:rsidRDefault="000C347C" w:rsidP="00621A9F">
      <w:pPr>
        <w:rPr>
          <w:rFonts w:ascii="Arial" w:hAnsi="Arial" w:cs="Arial"/>
        </w:rPr>
      </w:pPr>
    </w:p>
    <w:sectPr w:rsidR="000C347C" w:rsidRPr="00A707EF" w:rsidSect="00621A9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5E8F2" w14:textId="77777777" w:rsidR="00770517" w:rsidRDefault="00770517" w:rsidP="00413261">
      <w:pPr>
        <w:spacing w:after="0" w:line="240" w:lineRule="auto"/>
      </w:pPr>
      <w:r>
        <w:separator/>
      </w:r>
    </w:p>
  </w:endnote>
  <w:endnote w:type="continuationSeparator" w:id="0">
    <w:p w14:paraId="75CE57F7" w14:textId="77777777" w:rsidR="00770517" w:rsidRDefault="00770517" w:rsidP="0041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587D" w14:textId="77777777" w:rsidR="00413261" w:rsidRDefault="007026F7" w:rsidP="00E63380">
    <w:pPr>
      <w:jc w:val="right"/>
    </w:pPr>
    <w:r>
      <w:t>www.siblik.com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F5044" w14:textId="77777777" w:rsidR="00770517" w:rsidRDefault="00770517" w:rsidP="00413261">
      <w:pPr>
        <w:spacing w:after="0" w:line="240" w:lineRule="auto"/>
      </w:pPr>
      <w:r>
        <w:separator/>
      </w:r>
    </w:p>
  </w:footnote>
  <w:footnote w:type="continuationSeparator" w:id="0">
    <w:p w14:paraId="4413874E" w14:textId="77777777" w:rsidR="00770517" w:rsidRDefault="00770517" w:rsidP="0041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8978" w14:textId="77777777" w:rsidR="00413261" w:rsidRDefault="00413261" w:rsidP="0041326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07397E4C" wp14:editId="43AEE5ED">
          <wp:extent cx="673994" cy="5715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blik Logo 4C_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46" cy="57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93"/>
    <w:rsid w:val="00010B72"/>
    <w:rsid w:val="00011E56"/>
    <w:rsid w:val="000217C0"/>
    <w:rsid w:val="00061278"/>
    <w:rsid w:val="00064B9E"/>
    <w:rsid w:val="000A36BA"/>
    <w:rsid w:val="000C347C"/>
    <w:rsid w:val="000C465A"/>
    <w:rsid w:val="000C68FC"/>
    <w:rsid w:val="000D6481"/>
    <w:rsid w:val="000E19A7"/>
    <w:rsid w:val="0011003A"/>
    <w:rsid w:val="00150CE3"/>
    <w:rsid w:val="00152A8B"/>
    <w:rsid w:val="001B03B6"/>
    <w:rsid w:val="001B51C7"/>
    <w:rsid w:val="001B75DE"/>
    <w:rsid w:val="00225650"/>
    <w:rsid w:val="002328D9"/>
    <w:rsid w:val="002479F8"/>
    <w:rsid w:val="002679AE"/>
    <w:rsid w:val="002E63E0"/>
    <w:rsid w:val="00317210"/>
    <w:rsid w:val="003671F1"/>
    <w:rsid w:val="003777FC"/>
    <w:rsid w:val="003A3427"/>
    <w:rsid w:val="003D27A2"/>
    <w:rsid w:val="00413261"/>
    <w:rsid w:val="00425FD4"/>
    <w:rsid w:val="0043799C"/>
    <w:rsid w:val="00454294"/>
    <w:rsid w:val="004D1559"/>
    <w:rsid w:val="005502FF"/>
    <w:rsid w:val="00552AA6"/>
    <w:rsid w:val="00577C06"/>
    <w:rsid w:val="005928F1"/>
    <w:rsid w:val="005A3EF5"/>
    <w:rsid w:val="005A63D6"/>
    <w:rsid w:val="005B1A10"/>
    <w:rsid w:val="005C2044"/>
    <w:rsid w:val="005E6589"/>
    <w:rsid w:val="005F37D9"/>
    <w:rsid w:val="005F66BE"/>
    <w:rsid w:val="00621A9F"/>
    <w:rsid w:val="006311AE"/>
    <w:rsid w:val="00654F50"/>
    <w:rsid w:val="00671DC9"/>
    <w:rsid w:val="006D03EF"/>
    <w:rsid w:val="006E5D51"/>
    <w:rsid w:val="007026F7"/>
    <w:rsid w:val="00734216"/>
    <w:rsid w:val="00743B0A"/>
    <w:rsid w:val="00747F93"/>
    <w:rsid w:val="00757B67"/>
    <w:rsid w:val="00766446"/>
    <w:rsid w:val="00770517"/>
    <w:rsid w:val="0077155A"/>
    <w:rsid w:val="007B08E6"/>
    <w:rsid w:val="007C2EA8"/>
    <w:rsid w:val="007C6418"/>
    <w:rsid w:val="00800381"/>
    <w:rsid w:val="00800D83"/>
    <w:rsid w:val="00812BE9"/>
    <w:rsid w:val="008334FF"/>
    <w:rsid w:val="00842057"/>
    <w:rsid w:val="008A1A5C"/>
    <w:rsid w:val="008C54A8"/>
    <w:rsid w:val="008D3991"/>
    <w:rsid w:val="00916672"/>
    <w:rsid w:val="009616AF"/>
    <w:rsid w:val="00985196"/>
    <w:rsid w:val="00993C7F"/>
    <w:rsid w:val="009B58BD"/>
    <w:rsid w:val="009B649F"/>
    <w:rsid w:val="009E4E7F"/>
    <w:rsid w:val="00A02617"/>
    <w:rsid w:val="00A0329F"/>
    <w:rsid w:val="00A07677"/>
    <w:rsid w:val="00A46E52"/>
    <w:rsid w:val="00A707EF"/>
    <w:rsid w:val="00AA3CF1"/>
    <w:rsid w:val="00AB5ABD"/>
    <w:rsid w:val="00AC22F8"/>
    <w:rsid w:val="00B05F9A"/>
    <w:rsid w:val="00B36F38"/>
    <w:rsid w:val="00B4162A"/>
    <w:rsid w:val="00B43A64"/>
    <w:rsid w:val="00B71EC8"/>
    <w:rsid w:val="00B74C21"/>
    <w:rsid w:val="00B812E8"/>
    <w:rsid w:val="00BB4B05"/>
    <w:rsid w:val="00BE2BC9"/>
    <w:rsid w:val="00C60C6C"/>
    <w:rsid w:val="00CA567B"/>
    <w:rsid w:val="00CC3ACA"/>
    <w:rsid w:val="00CF65F1"/>
    <w:rsid w:val="00D1004A"/>
    <w:rsid w:val="00D633C9"/>
    <w:rsid w:val="00D84874"/>
    <w:rsid w:val="00D936B4"/>
    <w:rsid w:val="00D95C59"/>
    <w:rsid w:val="00DB66D5"/>
    <w:rsid w:val="00DD1742"/>
    <w:rsid w:val="00DF087B"/>
    <w:rsid w:val="00E05B58"/>
    <w:rsid w:val="00E138EE"/>
    <w:rsid w:val="00E17BBF"/>
    <w:rsid w:val="00E51EAC"/>
    <w:rsid w:val="00E63380"/>
    <w:rsid w:val="00E70B45"/>
    <w:rsid w:val="00E85183"/>
    <w:rsid w:val="00E8757E"/>
    <w:rsid w:val="00E90571"/>
    <w:rsid w:val="00EB5A90"/>
    <w:rsid w:val="00EB6310"/>
    <w:rsid w:val="00EE17E6"/>
    <w:rsid w:val="00EF4525"/>
    <w:rsid w:val="00F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30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3261"/>
  </w:style>
  <w:style w:type="paragraph" w:styleId="Fuzeile">
    <w:name w:val="footer"/>
    <w:basedOn w:val="Standard"/>
    <w:link w:val="FuzeileZchn"/>
    <w:uiPriority w:val="99"/>
    <w:unhideWhenUsed/>
    <w:rsid w:val="0041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32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261"/>
    <w:rPr>
      <w:rFonts w:ascii="Tahoma" w:hAnsi="Tahoma" w:cs="Tahoma"/>
      <w:sz w:val="16"/>
      <w:szCs w:val="16"/>
    </w:rPr>
  </w:style>
  <w:style w:type="character" w:styleId="Link">
    <w:name w:val="Hyperlink"/>
    <w:semiHidden/>
    <w:unhideWhenUsed/>
    <w:rsid w:val="00150CE3"/>
    <w:rPr>
      <w:color w:val="0000FF"/>
      <w:u w:val="single"/>
    </w:rPr>
  </w:style>
  <w:style w:type="paragraph" w:styleId="KeinLeerraum">
    <w:name w:val="No Spacing"/>
    <w:uiPriority w:val="1"/>
    <w:qFormat/>
    <w:rsid w:val="00425FD4"/>
    <w:pPr>
      <w:spacing w:after="0" w:line="240" w:lineRule="auto"/>
    </w:pPr>
    <w:rPr>
      <w:rFonts w:ascii="Arial" w:hAnsi="Arial"/>
      <w:sz w:val="24"/>
      <w:lang w:val="en-GB"/>
    </w:rPr>
  </w:style>
  <w:style w:type="paragraph" w:styleId="StandardWeb">
    <w:name w:val="Normal (Web)"/>
    <w:basedOn w:val="Standard"/>
    <w:uiPriority w:val="99"/>
    <w:unhideWhenUsed/>
    <w:rsid w:val="0042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TextA">
    <w:name w:val="Text A"/>
    <w:rsid w:val="000A36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EF45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06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85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3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4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0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siblik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D320-4105-F74A-9BAC-F940FA60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Microsoft Office-Anwender</cp:lastModifiedBy>
  <cp:revision>3</cp:revision>
  <dcterms:created xsi:type="dcterms:W3CDTF">2019-05-09T12:29:00Z</dcterms:created>
  <dcterms:modified xsi:type="dcterms:W3CDTF">2019-05-09T14:21:00Z</dcterms:modified>
</cp:coreProperties>
</file>