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5176" w14:textId="77777777" w:rsidR="00AC1B11" w:rsidRPr="003123EB" w:rsidRDefault="00AC1B11" w:rsidP="001527D7">
      <w:pPr>
        <w:pStyle w:val="berschrift1"/>
        <w:spacing w:after="200"/>
      </w:pPr>
      <w:r>
        <w:t xml:space="preserve">Größer, schneller, sicherer – </w:t>
      </w:r>
      <w:r>
        <w:br/>
        <w:t xml:space="preserve">das </w:t>
      </w:r>
      <w:proofErr w:type="spellStart"/>
      <w:r>
        <w:t>UPdate</w:t>
      </w:r>
      <w:proofErr w:type="spellEnd"/>
      <w:r>
        <w:t xml:space="preserve"> für das Elektro-Handwerk</w:t>
      </w:r>
    </w:p>
    <w:p w14:paraId="45C81686" w14:textId="77777777" w:rsidR="00AC1B11" w:rsidRPr="00C72A2D" w:rsidRDefault="009361EB" w:rsidP="001527D7">
      <w:pPr>
        <w:pStyle w:val="berschrift2"/>
        <w:spacing w:after="200"/>
      </w:pPr>
      <w:r>
        <w:t>Die neuen</w:t>
      </w:r>
      <w:r w:rsidR="00AC1B11">
        <w:t xml:space="preserve"> KAISER Unterputzdosen UP</w:t>
      </w:r>
      <w:r w:rsidR="00AC1B11" w:rsidRPr="00742B52">
        <w:rPr>
          <w:vertAlign w:val="superscript"/>
        </w:rPr>
        <w:t>1</w:t>
      </w:r>
    </w:p>
    <w:p w14:paraId="2814F9C8" w14:textId="77777777" w:rsidR="00AC1B11" w:rsidRPr="001527D7" w:rsidRDefault="00AC1B11" w:rsidP="001527D7">
      <w:pPr>
        <w:pStyle w:val="Untertitel"/>
      </w:pPr>
      <w:r w:rsidRPr="001527D7">
        <w:t xml:space="preserve">Die Vorteile aller Unterputzdosen am Markt wurden von Kaiser jetzt in einem einzigen Programm zusammengefasst. Die attraktive und funktionsgerechte Optik, 50-prozentige Zeitersparnis, Luftdichtheit und bis zu </w:t>
      </w:r>
      <w:r w:rsidR="00251411">
        <w:t>25 %</w:t>
      </w:r>
      <w:r w:rsidRPr="001527D7">
        <w:t xml:space="preserve"> mehr Installationsvolumen sind nur ein paar der innovativen Vorteile, die Kaiser UP</w:t>
      </w:r>
      <w:r w:rsidRPr="00251411">
        <w:rPr>
          <w:vertAlign w:val="superscript"/>
        </w:rPr>
        <w:t>1</w:t>
      </w:r>
      <w:r w:rsidRPr="001527D7">
        <w:t xml:space="preserve"> bietet.</w:t>
      </w:r>
    </w:p>
    <w:p w14:paraId="5486E2AC" w14:textId="55B2CC88" w:rsidR="00523D4B" w:rsidRPr="00523D4B" w:rsidRDefault="00AC1B11" w:rsidP="00523D4B">
      <w:pPr>
        <w:pStyle w:val="Untertitel"/>
      </w:pPr>
      <w:r w:rsidRPr="001527D7">
        <w:t xml:space="preserve">Damit zeigt Kaiser erneut, dass hier Anwenderfreundlichkeit und Zeitersparnis </w:t>
      </w:r>
      <w:r w:rsidR="00251411">
        <w:t>großgeschrieben</w:t>
      </w:r>
      <w:r w:rsidRPr="001527D7">
        <w:t xml:space="preserve"> werden.</w:t>
      </w:r>
    </w:p>
    <w:p w14:paraId="0FCAA8F3" w14:textId="77777777" w:rsidR="00AC1B11" w:rsidRDefault="00AC1B11" w:rsidP="001527D7">
      <w:r>
        <w:t>In enger Zusammenarbeit mit dem Elektro-Handwerk hat Kaiser mit UP</w:t>
      </w:r>
      <w:r w:rsidRPr="00C46356">
        <w:rPr>
          <w:vertAlign w:val="superscript"/>
        </w:rPr>
        <w:t>1</w:t>
      </w:r>
      <w:r>
        <w:t xml:space="preserve"> ein Unterputz-Programm entwickelt, das die Vorzüge sämtlicher UP-Dosen </w:t>
      </w:r>
      <w:r w:rsidR="009E656B">
        <w:t>am</w:t>
      </w:r>
      <w:r>
        <w:t xml:space="preserve"> Markt in sich vereint und mit weiteren arbeitsentlastenden Features neue Maßstäbe setzt.</w:t>
      </w:r>
    </w:p>
    <w:p w14:paraId="6CC03616" w14:textId="77777777" w:rsidR="00AC1B11" w:rsidRDefault="00AC1B11" w:rsidP="001527D7">
      <w:r>
        <w:t>Die dauerhaft luftdichten Geräte- und Geräteverbindungsdosen fallen allein schon optisch auf – statt rund setzt man auf sechseckig, die bisher vorherrschende Farbe „Schwarz“ ist einem attraktiven, modernen „strahlenden Grau“ gewichen, Funktionselemente wie Membrane, Signaldeckel und Putzausgleich-Rahmen sind durch das frische „KAISER-Blau“ schnell dem Hersteller zuzuordnen.</w:t>
      </w:r>
    </w:p>
    <w:p w14:paraId="24E7D298" w14:textId="77777777" w:rsidR="00AC1B11" w:rsidRDefault="00AC1B11" w:rsidP="001527D7">
      <w:r>
        <w:t xml:space="preserve">In den Dosenkörper integrierte Klemmrippen gewährleisten eine schnelle sowie sichere Fixierung in allen Mauersteinen und sorgen so für bis zu 50 % Zeitersparnis bei der Montage. Ein </w:t>
      </w:r>
      <w:r w:rsidR="00251411">
        <w:t>aufwendiger</w:t>
      </w:r>
      <w:r>
        <w:t xml:space="preserve"> Einsatz von Gips, Schnellzement oder PU-Schaum zum Fixieren</w:t>
      </w:r>
      <w:r w:rsidR="00AA1BB4">
        <w:t>,</w:t>
      </w:r>
      <w:r>
        <w:t xml:space="preserve"> mit entsprechendem Schmutz </w:t>
      </w:r>
      <w:r w:rsidR="00251411">
        <w:t>und anschließenden</w:t>
      </w:r>
      <w:r>
        <w:t xml:space="preserve"> Reinigungsarbeiten der Werkzeuge</w:t>
      </w:r>
      <w:r w:rsidR="00AA1BB4">
        <w:t>,</w:t>
      </w:r>
      <w:r>
        <w:t xml:space="preserve"> ist nicht mehr erforderlich – ein wichtiger Zeitvorteil.</w:t>
      </w:r>
    </w:p>
    <w:p w14:paraId="6C86DA92" w14:textId="77777777" w:rsidR="00AC1B11" w:rsidRDefault="00AC1B11" w:rsidP="001527D7">
      <w:r>
        <w:t>UP</w:t>
      </w:r>
      <w:r w:rsidRPr="00C46356">
        <w:rPr>
          <w:vertAlign w:val="superscript"/>
        </w:rPr>
        <w:t>1</w:t>
      </w:r>
      <w:r>
        <w:t xml:space="preserve">-Geräte- und Geräteverbindungsdosen werden in Installationsöffnungen von Ø 82 mm eingebaut und verfügen über bis zu 25 % mehr Installationsvolumen. Dies sorgt für eine komfortable Unterbringung von Leitungen, Verbindungsklemmen und Einbaugeräten. Stabile Mehrfachkombinationen im 71-mm-Normabstand lassen sich schnell werkzeuglos durch einfaches </w:t>
      </w:r>
      <w:proofErr w:type="spellStart"/>
      <w:r>
        <w:t>Verrasten</w:t>
      </w:r>
      <w:proofErr w:type="spellEnd"/>
      <w:r>
        <w:t xml:space="preserve"> der Dosen von zwei Seiten her erstellen. Überschneidende Dosendurchmesser sowie ausbrechbare Trennstege im oberen Bereich ermöglichen eine zeitsparend offene oder vorkonfektionierte Durchverdrahtung von Geräten ohne räumliche Trennung. Mehrfach-Steckdosen oder jegliche Einbaugeräte können so schnell und komfortabel installiert werden. Und das dauerhaft luftdicht.</w:t>
      </w:r>
    </w:p>
    <w:p w14:paraId="0C7C0C94" w14:textId="77777777" w:rsidR="00AC1B11" w:rsidRDefault="00AC1B11" w:rsidP="001527D7">
      <w:r>
        <w:t>Die ECON</w:t>
      </w:r>
      <w:r w:rsidRPr="006C2C34">
        <w:rPr>
          <w:vertAlign w:val="superscript"/>
        </w:rPr>
        <w:t>®</w:t>
      </w:r>
      <w:r>
        <w:t xml:space="preserve">-Multimembranen, die Leitungen und Rohre mit ihrem elastischen Material luftdicht umschließen, sorgen auch im bodennahen Bereich der Dose für vollisolierte Einführungen oder Durchverdrahtungen ohne die hier sonst üblichen Tunnelverbinder. So müssen die Leitungen nicht in </w:t>
      </w:r>
      <w:r>
        <w:lastRenderedPageBreak/>
        <w:t>Bögen von einer Dose zur anderen gehen. Aus einer Richtung können bis zu drei Rohre M20 oder M25 werkzeuglos zugeführt werden.</w:t>
      </w:r>
    </w:p>
    <w:p w14:paraId="0DFB2EB5" w14:textId="77777777" w:rsidR="00AC1B11" w:rsidRDefault="00AC1B11" w:rsidP="001527D7">
      <w:r>
        <w:t>Zwei Spreizkrallenfelder in der Geräteverbindungsdose sowie vier 3-fach-Schraubdome in allen Dosen bieten einen sicheren Halt sowie großzügigen Toleranzausgleich für Einbaugeräte. Die beiden Tiefenanschläge stellen die Mindestputztiefe sicher. Einzigartig ist auch der stufenlose UP</w:t>
      </w:r>
      <w:r w:rsidRPr="00C46356">
        <w:rPr>
          <w:vertAlign w:val="superscript"/>
        </w:rPr>
        <w:t>1</w:t>
      </w:r>
      <w:r>
        <w:t>-Putzausgleich-Rahmen von 10</w:t>
      </w:r>
      <w:r w:rsidR="009361EB">
        <w:t xml:space="preserve"> - </w:t>
      </w:r>
      <w:r>
        <w:t>35 mm, der bei nachträglich aufgebrachten Putzschichten, Fliesen oder sonstigen Wandbelägen zur Anwendung kommt. Zum Schutz des Doseninneren und der Schraubdome beim Verputzen steht der neue UP</w:t>
      </w:r>
      <w:r w:rsidRPr="00C46356">
        <w:rPr>
          <w:vertAlign w:val="superscript"/>
        </w:rPr>
        <w:t>1</w:t>
      </w:r>
      <w:r>
        <w:t>-Signaldeckel zur Verfügung, dessen Signalborsten das Auffinden der Dose nach dem Verputzen erleichtern.</w:t>
      </w:r>
    </w:p>
    <w:p w14:paraId="783B9E48" w14:textId="77777777" w:rsidR="00AC1B11" w:rsidRDefault="00AC1B11" w:rsidP="001527D7">
      <w:r>
        <w:t>Das UP</w:t>
      </w:r>
      <w:r w:rsidRPr="00C46356">
        <w:rPr>
          <w:vertAlign w:val="superscript"/>
        </w:rPr>
        <w:t>1</w:t>
      </w:r>
      <w:r>
        <w:t>-Programm soll außerdem demnächst noch erweitert werden.</w:t>
      </w:r>
    </w:p>
    <w:p w14:paraId="223429C4" w14:textId="77777777" w:rsidR="001527D7" w:rsidRPr="001527D7" w:rsidRDefault="00AC1B11" w:rsidP="001527D7">
      <w:pPr>
        <w:jc w:val="center"/>
        <w:rPr>
          <w:rStyle w:val="SchwacheHervorhebung"/>
        </w:rPr>
      </w:pPr>
      <w:r w:rsidRPr="001527D7">
        <w:rPr>
          <w:rStyle w:val="SchwacheHervorhebung"/>
        </w:rPr>
        <w:t>Darauf ha</w:t>
      </w:r>
      <w:r w:rsidR="001527D7" w:rsidRPr="001527D7">
        <w:rPr>
          <w:rStyle w:val="SchwacheHervorhebung"/>
        </w:rPr>
        <w:t>t die Branche gewartet – ein mit dem Elektro-Handwerk gemeinsam entwickeltes Unterputzprogramm, das die Vorzüge sämtlicher UP-Dosen am Markt in sich verein</w:t>
      </w:r>
      <w:r w:rsidR="00AA1BB4">
        <w:rPr>
          <w:rStyle w:val="SchwacheHervorhebung"/>
        </w:rPr>
        <w:t>t</w:t>
      </w:r>
      <w:r w:rsidR="001527D7" w:rsidRPr="001527D7">
        <w:rPr>
          <w:rStyle w:val="SchwacheHervorhebung"/>
        </w:rPr>
        <w:t>. Kaiser UP</w:t>
      </w:r>
      <w:r w:rsidR="001527D7" w:rsidRPr="00251411">
        <w:rPr>
          <w:rStyle w:val="SchwacheHervorhebung"/>
          <w:vertAlign w:val="superscript"/>
        </w:rPr>
        <w:t>1</w:t>
      </w:r>
      <w:r w:rsidR="001527D7" w:rsidRPr="001527D7">
        <w:rPr>
          <w:rStyle w:val="SchwacheHervorhebung"/>
        </w:rPr>
        <w:t xml:space="preserve"> setzt durch zeit- und kostensparende Features neue Maßstäbe für die Installation von Unterputzdosen.</w:t>
      </w:r>
    </w:p>
    <w:p w14:paraId="4633168D" w14:textId="77777777" w:rsidR="00E86FD9" w:rsidRPr="001527D7" w:rsidRDefault="00E86FD9" w:rsidP="001527D7">
      <w:pPr>
        <w:rPr>
          <w:rStyle w:val="Hervorhebung"/>
        </w:rPr>
      </w:pPr>
      <w:r w:rsidRPr="001527D7">
        <w:rPr>
          <w:rStyle w:val="Hervorhebung"/>
        </w:rPr>
        <w:t>Highlights</w:t>
      </w:r>
    </w:p>
    <w:p w14:paraId="30F4EA9A" w14:textId="77777777" w:rsidR="001527D7" w:rsidRPr="001527D7" w:rsidRDefault="001527D7" w:rsidP="001527D7">
      <w:pPr>
        <w:pStyle w:val="Listenabsatz"/>
        <w:numPr>
          <w:ilvl w:val="0"/>
          <w:numId w:val="2"/>
        </w:numPr>
        <w:spacing w:line="216" w:lineRule="auto"/>
        <w:ind w:left="714" w:hanging="357"/>
      </w:pPr>
      <w:r w:rsidRPr="001527D7">
        <w:t>luftdicht ohne Schau</w:t>
      </w:r>
      <w:r w:rsidR="00AA1BB4">
        <w:t>m</w:t>
      </w:r>
      <w:r w:rsidRPr="001527D7">
        <w:t>, auch bei Mehrfachkombination</w:t>
      </w:r>
    </w:p>
    <w:p w14:paraId="3ED8E572" w14:textId="77777777" w:rsidR="001527D7" w:rsidRPr="001527D7" w:rsidRDefault="00AA1BB4" w:rsidP="001527D7">
      <w:pPr>
        <w:pStyle w:val="Listenabsatz"/>
        <w:numPr>
          <w:ilvl w:val="0"/>
          <w:numId w:val="2"/>
        </w:numPr>
        <w:spacing w:line="216" w:lineRule="auto"/>
        <w:ind w:left="714" w:hanging="357"/>
      </w:pPr>
      <w:r>
        <w:t>50 %</w:t>
      </w:r>
      <w:r w:rsidR="001527D7" w:rsidRPr="001527D7">
        <w:t xml:space="preserve"> weniger Zeitaufwand bei der Installation</w:t>
      </w:r>
    </w:p>
    <w:p w14:paraId="21E7158A" w14:textId="77777777" w:rsidR="001527D7" w:rsidRPr="001527D7" w:rsidRDefault="00251411" w:rsidP="001527D7">
      <w:pPr>
        <w:pStyle w:val="Listenabsatz"/>
        <w:numPr>
          <w:ilvl w:val="0"/>
          <w:numId w:val="2"/>
        </w:numPr>
        <w:spacing w:line="216" w:lineRule="auto"/>
        <w:ind w:left="714" w:hanging="357"/>
      </w:pPr>
      <w:r>
        <w:t>25 %</w:t>
      </w:r>
      <w:r w:rsidR="001527D7" w:rsidRPr="001527D7">
        <w:t xml:space="preserve"> mehr Installationsvolumen durch </w:t>
      </w:r>
      <w:r w:rsidR="00AA1BB4">
        <w:t>6-eckige</w:t>
      </w:r>
      <w:r w:rsidR="001527D7" w:rsidRPr="001527D7">
        <w:t xml:space="preserve"> Form</w:t>
      </w:r>
    </w:p>
    <w:p w14:paraId="393221C8" w14:textId="77777777" w:rsidR="001527D7" w:rsidRPr="001527D7" w:rsidRDefault="00AA1BB4" w:rsidP="001527D7">
      <w:pPr>
        <w:pStyle w:val="Listenabsatz"/>
        <w:numPr>
          <w:ilvl w:val="0"/>
          <w:numId w:val="2"/>
        </w:numPr>
        <w:spacing w:line="216" w:lineRule="auto"/>
        <w:ind w:left="714" w:hanging="357"/>
      </w:pPr>
      <w:r>
        <w:t>e</w:t>
      </w:r>
      <w:r w:rsidR="001527D7" w:rsidRPr="001527D7">
        <w:t xml:space="preserve">infaches </w:t>
      </w:r>
      <w:proofErr w:type="spellStart"/>
      <w:r w:rsidR="001527D7" w:rsidRPr="001527D7">
        <w:t>Verrasten</w:t>
      </w:r>
      <w:proofErr w:type="spellEnd"/>
      <w:r w:rsidR="001527D7" w:rsidRPr="001527D7">
        <w:t xml:space="preserve"> für stabile Mehrfachkombinationen</w:t>
      </w:r>
    </w:p>
    <w:p w14:paraId="5346B68B" w14:textId="77777777" w:rsidR="001527D7" w:rsidRPr="001527D7" w:rsidRDefault="00AA1BB4" w:rsidP="001527D7">
      <w:pPr>
        <w:pStyle w:val="Listenabsatz"/>
        <w:numPr>
          <w:ilvl w:val="0"/>
          <w:numId w:val="2"/>
        </w:numPr>
        <w:spacing w:line="216" w:lineRule="auto"/>
        <w:ind w:left="714" w:hanging="357"/>
      </w:pPr>
      <w:r>
        <w:t>z</w:t>
      </w:r>
      <w:r w:rsidR="001527D7" w:rsidRPr="001527D7">
        <w:t xml:space="preserve">wei Spreizkrallen und vier </w:t>
      </w:r>
      <w:r>
        <w:t>3-fach</w:t>
      </w:r>
      <w:r w:rsidR="001527D7" w:rsidRPr="001527D7">
        <w:t xml:space="preserve"> Schraubdome für sicheren Einbau</w:t>
      </w:r>
    </w:p>
    <w:p w14:paraId="5AD5D7DF" w14:textId="77777777" w:rsidR="001527D7" w:rsidRPr="001527D7" w:rsidRDefault="00AA1BB4" w:rsidP="001527D7">
      <w:pPr>
        <w:pStyle w:val="Listenabsatz"/>
        <w:numPr>
          <w:ilvl w:val="0"/>
          <w:numId w:val="2"/>
        </w:numPr>
        <w:spacing w:line="216" w:lineRule="auto"/>
        <w:ind w:left="714" w:hanging="357"/>
      </w:pPr>
      <w:r>
        <w:t>i</w:t>
      </w:r>
      <w:r w:rsidR="001527D7" w:rsidRPr="001527D7">
        <w:t>nnovative Putzausgleichrahmen und Signaldeckel</w:t>
      </w:r>
    </w:p>
    <w:p w14:paraId="58C77CFF" w14:textId="77777777" w:rsidR="001527D7" w:rsidRPr="001527D7" w:rsidRDefault="00AA1BB4" w:rsidP="001527D7">
      <w:pPr>
        <w:pStyle w:val="Listenabsatz"/>
        <w:numPr>
          <w:ilvl w:val="0"/>
          <w:numId w:val="2"/>
        </w:numPr>
        <w:spacing w:line="216" w:lineRule="auto"/>
        <w:ind w:left="714" w:hanging="357"/>
      </w:pPr>
      <w:r>
        <w:t>a</w:t>
      </w:r>
      <w:r w:rsidR="001527D7" w:rsidRPr="001527D7">
        <w:t xml:space="preserve">ttraktive Optik in frischem </w:t>
      </w:r>
      <w:r>
        <w:t>Grau</w:t>
      </w:r>
      <w:r w:rsidR="001527D7" w:rsidRPr="001527D7">
        <w:t xml:space="preserve"> und </w:t>
      </w:r>
      <w:r>
        <w:t>Blau</w:t>
      </w:r>
    </w:p>
    <w:p w14:paraId="627BA279" w14:textId="77777777" w:rsidR="00523D4B" w:rsidRDefault="00523D4B">
      <w:pPr>
        <w:spacing w:line="259" w:lineRule="auto"/>
      </w:pPr>
    </w:p>
    <w:p w14:paraId="7610FFD8" w14:textId="515E05AF" w:rsidR="00523D4B" w:rsidRPr="00523D4B" w:rsidRDefault="00523D4B">
      <w:pPr>
        <w:spacing w:line="259" w:lineRule="auto"/>
        <w:rPr>
          <w:highlight w:val="yellow"/>
        </w:rPr>
      </w:pPr>
      <w:r w:rsidRPr="00523D4B">
        <w:rPr>
          <w:highlight w:val="yellow"/>
        </w:rPr>
        <w:t>Im Rahmen der Light + Building 24 wurden weitere Mitglieder der UP</w:t>
      </w:r>
      <w:r w:rsidRPr="00523D4B">
        <w:rPr>
          <w:highlight w:val="yellow"/>
          <w:vertAlign w:val="superscript"/>
        </w:rPr>
        <w:t>1</w:t>
      </w:r>
      <w:r w:rsidRPr="00523D4B">
        <w:rPr>
          <w:highlight w:val="yellow"/>
        </w:rPr>
        <w:t xml:space="preserve"> Econ® Fix Familie vorgestellt. So bietet das Programm nun zusätzlich zu Geräte- und Geräteverbindungsdosen auch Electronic- und Doppel-Geräte-Verbindungsdosen.</w:t>
      </w:r>
    </w:p>
    <w:p w14:paraId="32FDE59A" w14:textId="7FF412F8" w:rsidR="00523D4B" w:rsidRPr="00523D4B" w:rsidRDefault="00523D4B">
      <w:pPr>
        <w:spacing w:line="259" w:lineRule="auto"/>
        <w:rPr>
          <w:highlight w:val="yellow"/>
        </w:rPr>
      </w:pPr>
      <w:r w:rsidRPr="00523D4B">
        <w:rPr>
          <w:highlight w:val="yellow"/>
        </w:rPr>
        <w:t>Die Electronic-Dose UP</w:t>
      </w:r>
      <w:r w:rsidRPr="00523D4B">
        <w:rPr>
          <w:highlight w:val="yellow"/>
          <w:vertAlign w:val="superscript"/>
        </w:rPr>
        <w:t>1</w:t>
      </w:r>
      <w:r w:rsidRPr="00523D4B">
        <w:rPr>
          <w:highlight w:val="yellow"/>
        </w:rPr>
        <w:t xml:space="preserve"> ECON® fix bietet einen großzügigen Geräteeinbauraum und zusätzlichen Installationsplatz für z. B. kleine Schaltaktoren. Durch die Trennwand ist eine normgerechte Installation von Bus- und Betriebsspannung in einer Dose möglich.</w:t>
      </w:r>
    </w:p>
    <w:p w14:paraId="02491281" w14:textId="66D635DD" w:rsidR="00523D4B" w:rsidRDefault="00523D4B">
      <w:pPr>
        <w:spacing w:line="259" w:lineRule="auto"/>
      </w:pPr>
      <w:r w:rsidRPr="00523D4B">
        <w:rPr>
          <w:highlight w:val="yellow"/>
        </w:rPr>
        <w:t>Die Doppel-Geräte-Verbindungsdose UP</w:t>
      </w:r>
      <w:r w:rsidRPr="00523D4B">
        <w:rPr>
          <w:highlight w:val="yellow"/>
          <w:vertAlign w:val="superscript"/>
        </w:rPr>
        <w:t>1</w:t>
      </w:r>
      <w:r w:rsidRPr="00523D4B">
        <w:rPr>
          <w:highlight w:val="yellow"/>
        </w:rPr>
        <w:t xml:space="preserve"> ECON® Fix schafft noch nie dagewesenen Komfort bei der Installation besonderer Einbaugeräte. Die große Einbauöffnung und der riesige Einbauraum ermöglichen so zum Beispiel die Installation von Block- und vorverdrahteten Geräten und bietet Platz zum Konfektionieren der Leitungen für Multimedia-Anschlüsse.</w:t>
      </w:r>
    </w:p>
    <w:p w14:paraId="78132D8E" w14:textId="0533E5A7" w:rsidR="001469CE" w:rsidRDefault="001469CE">
      <w:pPr>
        <w:spacing w:line="259" w:lineRule="auto"/>
      </w:pPr>
      <w:r>
        <w:br w:type="page"/>
      </w:r>
    </w:p>
    <w:p w14:paraId="3EF32F1F" w14:textId="4752B6D5" w:rsidR="00523D4B" w:rsidRDefault="00523D4B" w:rsidP="001469CE">
      <w:pPr>
        <w:spacing w:line="360" w:lineRule="auto"/>
        <w:rPr>
          <w:rStyle w:val="Hervorhebung"/>
        </w:rPr>
      </w:pPr>
      <w:r w:rsidRPr="00523D4B">
        <w:rPr>
          <w:rStyle w:val="Hervorhebung"/>
          <w:highlight w:val="yellow"/>
        </w:rPr>
        <w:lastRenderedPageBreak/>
        <w:t>Bilder Zusatz</w:t>
      </w:r>
    </w:p>
    <w:p w14:paraId="0F959062" w14:textId="5919A7C6" w:rsidR="00523D4B" w:rsidRDefault="00523D4B" w:rsidP="001469CE">
      <w:pPr>
        <w:spacing w:line="360" w:lineRule="auto"/>
        <w:rPr>
          <w:rStyle w:val="Hervorhebung"/>
        </w:rPr>
      </w:pPr>
      <w:r>
        <w:rPr>
          <w:b/>
          <w:bCs/>
          <w:noProof/>
        </w:rPr>
        <w:drawing>
          <wp:inline distT="0" distB="0" distL="0" distR="0" wp14:anchorId="652F53C0" wp14:editId="4B8B55CF">
            <wp:extent cx="2860541" cy="2520000"/>
            <wp:effectExtent l="0" t="0" r="0" b="0"/>
            <wp:docPr id="714460468" name="Grafik 1" descr="Ein Bild, das Elektrische Leitungen, Stromversorgung, Wand,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60468" name="Grafik 1" descr="Ein Bild, das Elektrische Leitungen, Stromversorgung, Wand, Kabel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0541" cy="2520000"/>
                    </a:xfrm>
                    <a:prstGeom prst="rect">
                      <a:avLst/>
                    </a:prstGeom>
                  </pic:spPr>
                </pic:pic>
              </a:graphicData>
            </a:graphic>
          </wp:inline>
        </w:drawing>
      </w:r>
      <w:r w:rsidR="00154081">
        <w:rPr>
          <w:rStyle w:val="Hervorhebung"/>
        </w:rPr>
        <w:t xml:space="preserve"> </w:t>
      </w:r>
      <w:r w:rsidR="00154081">
        <w:rPr>
          <w:b/>
          <w:bCs/>
          <w:noProof/>
        </w:rPr>
        <w:drawing>
          <wp:inline distT="0" distB="0" distL="0" distR="0" wp14:anchorId="48464AEB" wp14:editId="5664C1C6">
            <wp:extent cx="2520000" cy="2520000"/>
            <wp:effectExtent l="0" t="0" r="0" b="0"/>
            <wp:docPr id="1678470052" name="Grafik 2" descr="Ein Bild, das Maßstabsmodell, Raum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0052" name="Grafik 2" descr="Ein Bild, das Maßstabsmodell, Raumschiff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A846E2F" w14:textId="5EE37F25" w:rsidR="00523D4B" w:rsidRDefault="00154081" w:rsidP="001469CE">
      <w:pPr>
        <w:spacing w:line="360" w:lineRule="auto"/>
        <w:rPr>
          <w:rStyle w:val="Hervorhebung"/>
          <w:b w:val="0"/>
          <w:bCs w:val="0"/>
          <w:i/>
          <w:iCs/>
        </w:rPr>
      </w:pPr>
      <w:r w:rsidRPr="00154081">
        <w:rPr>
          <w:rStyle w:val="Hervorhebung"/>
          <w:b w:val="0"/>
          <w:bCs w:val="0"/>
          <w:i/>
          <w:iCs/>
        </w:rPr>
        <w:t>Die Electronic-Dose UP</w:t>
      </w:r>
      <w:r w:rsidRPr="00154081">
        <w:rPr>
          <w:rStyle w:val="Hervorhebung"/>
          <w:b w:val="0"/>
          <w:bCs w:val="0"/>
          <w:i/>
          <w:iCs/>
          <w:vertAlign w:val="superscript"/>
        </w:rPr>
        <w:t>1</w:t>
      </w:r>
      <w:r w:rsidRPr="00154081">
        <w:rPr>
          <w:rStyle w:val="Hervorhebung"/>
          <w:b w:val="0"/>
          <w:bCs w:val="0"/>
          <w:i/>
          <w:iCs/>
        </w:rPr>
        <w:t xml:space="preserve"> ECON® Fix bietet großzügigen Installationsraum</w:t>
      </w:r>
    </w:p>
    <w:p w14:paraId="499831E2" w14:textId="42188F4C" w:rsidR="00154081" w:rsidRPr="00154081" w:rsidRDefault="00154081" w:rsidP="001469CE">
      <w:pPr>
        <w:spacing w:line="360" w:lineRule="auto"/>
        <w:rPr>
          <w:rStyle w:val="Hervorhebung"/>
          <w:b w:val="0"/>
          <w:bCs w:val="0"/>
        </w:rPr>
      </w:pPr>
      <w:r>
        <w:rPr>
          <w:noProof/>
        </w:rPr>
        <w:drawing>
          <wp:inline distT="0" distB="0" distL="0" distR="0" wp14:anchorId="433E2788" wp14:editId="7620763C">
            <wp:extent cx="2520000" cy="2520000"/>
            <wp:effectExtent l="0" t="0" r="0" b="0"/>
            <wp:docPr id="827185110" name="Grafik 3" descr="Ein Bild, das Maßstabsmodell, Raum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85110" name="Grafik 3" descr="Ein Bild, das Maßstabsmodell, Raumschiff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BD41C2F" w14:textId="7CD0ECFC" w:rsidR="00154081" w:rsidRPr="00154081" w:rsidRDefault="00154081" w:rsidP="001469CE">
      <w:pPr>
        <w:spacing w:line="360" w:lineRule="auto"/>
        <w:rPr>
          <w:rStyle w:val="Hervorhebung"/>
          <w:b w:val="0"/>
          <w:bCs w:val="0"/>
          <w:i/>
          <w:iCs/>
        </w:rPr>
      </w:pPr>
      <w:r>
        <w:rPr>
          <w:rStyle w:val="Hervorhebung"/>
          <w:b w:val="0"/>
          <w:bCs w:val="0"/>
          <w:i/>
          <w:iCs/>
        </w:rPr>
        <w:t>Mit der Doppel-Geräte-Verbindungsdose UP1 ECON® Fix genießt man noch nie dagewesenen Komfort bei der Installation.</w:t>
      </w:r>
    </w:p>
    <w:p w14:paraId="12C7A882" w14:textId="77D0A630" w:rsidR="001469CE" w:rsidRPr="001469CE" w:rsidRDefault="001469CE" w:rsidP="001469CE">
      <w:pPr>
        <w:spacing w:line="360" w:lineRule="auto"/>
        <w:rPr>
          <w:rStyle w:val="Hervorhebung"/>
        </w:rPr>
      </w:pPr>
      <w:r w:rsidRPr="001469CE">
        <w:rPr>
          <w:rStyle w:val="Hervorhebung"/>
        </w:rPr>
        <w:t>Bilder</w:t>
      </w:r>
    </w:p>
    <w:p w14:paraId="109849BD" w14:textId="77777777" w:rsidR="001469CE" w:rsidRPr="001469CE" w:rsidRDefault="001469CE" w:rsidP="001469CE">
      <w:pPr>
        <w:spacing w:line="360" w:lineRule="auto"/>
        <w:rPr>
          <w:rStyle w:val="ZitatZchn"/>
        </w:rPr>
      </w:pPr>
      <w:r>
        <w:rPr>
          <w:b/>
          <w:bCs/>
          <w:noProof/>
        </w:rPr>
        <w:lastRenderedPageBreak/>
        <w:drawing>
          <wp:inline distT="0" distB="0" distL="0" distR="0" wp14:anchorId="15B949D1" wp14:editId="00518A42">
            <wp:extent cx="3240000" cy="2160000"/>
            <wp:effectExtent l="0" t="0" r="0" b="0"/>
            <wp:docPr id="3104623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62330" name="Grafik 3104623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Pr>
          <w:rStyle w:val="Fett"/>
        </w:rPr>
        <w:br/>
      </w:r>
      <w:r w:rsidRPr="001469CE">
        <w:rPr>
          <w:rStyle w:val="ZitatZchn"/>
        </w:rPr>
        <w:t>DB_Kaiser_230828_037_MAX-2400x1600px.jpg</w:t>
      </w:r>
      <w:r>
        <w:rPr>
          <w:rStyle w:val="ZitatZchn"/>
        </w:rPr>
        <w:br/>
      </w:r>
      <w:r w:rsidRPr="001469CE">
        <w:rPr>
          <w:rStyle w:val="ZitatZchn"/>
        </w:rPr>
        <w:t>Entwickelt mit Profis – die neuen Kaiser Unterputzdosen UP1</w:t>
      </w:r>
    </w:p>
    <w:p w14:paraId="3D518837" w14:textId="77777777" w:rsidR="001469CE" w:rsidRDefault="001469CE" w:rsidP="00AC1B11">
      <w:pPr>
        <w:rPr>
          <w:rStyle w:val="Fett"/>
        </w:rPr>
      </w:pPr>
      <w:r>
        <w:rPr>
          <w:noProof/>
          <w:lang w:eastAsia="de-AT"/>
        </w:rPr>
        <w:drawing>
          <wp:inline distT="0" distB="0" distL="0" distR="0" wp14:anchorId="5331A359" wp14:editId="32546EF7">
            <wp:extent cx="2160000" cy="2160000"/>
            <wp:effectExtent l="0" t="0" r="0" b="0"/>
            <wp:docPr id="5735861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6170" name="Grafik 5735861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r>
        <w:rPr>
          <w:noProof/>
          <w:lang w:eastAsia="de-AT"/>
        </w:rPr>
        <w:drawing>
          <wp:inline distT="0" distB="0" distL="0" distR="0" wp14:anchorId="6C31D597" wp14:editId="4EDBF638">
            <wp:extent cx="2160000" cy="2160000"/>
            <wp:effectExtent l="0" t="0" r="0" b="0"/>
            <wp:docPr id="16526780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78041" name="Grafik 16526780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BE3746D" w14:textId="77777777" w:rsidR="001469CE" w:rsidRDefault="001469CE" w:rsidP="001469CE">
      <w:pPr>
        <w:pStyle w:val="Listenabsatz"/>
        <w:rPr>
          <w:rStyle w:val="SchwacheHervorhebung"/>
        </w:rPr>
      </w:pPr>
      <w:r w:rsidRPr="001469CE">
        <w:rPr>
          <w:rStyle w:val="SchwacheHervorhebung"/>
        </w:rPr>
        <w:t>01_KAISER_1555-26_01.jpg; 02_KAISER_1555-26_02.jpg</w:t>
      </w:r>
      <w:r>
        <w:rPr>
          <w:rStyle w:val="SchwacheHervorhebung"/>
        </w:rPr>
        <w:br/>
      </w:r>
      <w:r w:rsidRPr="001469CE">
        <w:rPr>
          <w:rStyle w:val="SchwacheHervorhebung"/>
        </w:rPr>
        <w:t>Zeit- und kostensparende Features setzen neue Maßstäbe für die Installation</w:t>
      </w:r>
    </w:p>
    <w:p w14:paraId="5FF6809E" w14:textId="77777777" w:rsidR="001469CE" w:rsidRDefault="001469CE" w:rsidP="001469CE">
      <w:pPr>
        <w:pStyle w:val="Listenabsatz"/>
        <w:rPr>
          <w:rStyle w:val="SchwacheHervorhebung"/>
        </w:rPr>
      </w:pPr>
      <w:r>
        <w:rPr>
          <w:i/>
          <w:iCs/>
          <w:noProof/>
          <w:color w:val="404040" w:themeColor="text1" w:themeTint="BF"/>
        </w:rPr>
        <w:drawing>
          <wp:inline distT="0" distB="0" distL="0" distR="0" wp14:anchorId="67819FA1" wp14:editId="72D5C2CB">
            <wp:extent cx="2450053" cy="2160000"/>
            <wp:effectExtent l="0" t="0" r="1270" b="0"/>
            <wp:docPr id="153914511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5117" name="Grafik 15391451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053" cy="2160000"/>
                    </a:xfrm>
                    <a:prstGeom prst="rect">
                      <a:avLst/>
                    </a:prstGeom>
                  </pic:spPr>
                </pic:pic>
              </a:graphicData>
            </a:graphic>
          </wp:inline>
        </w:drawing>
      </w:r>
    </w:p>
    <w:p w14:paraId="0EB11361" w14:textId="77777777" w:rsidR="001469CE" w:rsidRDefault="001469CE" w:rsidP="001469CE">
      <w:pPr>
        <w:pStyle w:val="Listenabsatz"/>
        <w:rPr>
          <w:rStyle w:val="SchwacheHervorhebung"/>
        </w:rPr>
      </w:pPr>
      <w:r w:rsidRPr="001469CE">
        <w:rPr>
          <w:rStyle w:val="SchwacheHervorhebung"/>
        </w:rPr>
        <w:t>03_KAISER_1555-26_Klemmrippenbefestigung_Schnitt_01</w:t>
      </w:r>
      <w:r>
        <w:rPr>
          <w:rStyle w:val="SchwacheHervorhebung"/>
        </w:rPr>
        <w:t>.jpg</w:t>
      </w:r>
      <w:r>
        <w:rPr>
          <w:rStyle w:val="SchwacheHervorhebung"/>
        </w:rPr>
        <w:br/>
        <w:t>Schnelle und sichere Fixierung in jedem Mauerwerk durch innovative Klemmrippen</w:t>
      </w:r>
    </w:p>
    <w:p w14:paraId="3A412BE2" w14:textId="77777777" w:rsidR="001469CE" w:rsidRDefault="001469CE" w:rsidP="001469CE">
      <w:pPr>
        <w:pStyle w:val="Listenabsatz"/>
        <w:rPr>
          <w:rStyle w:val="SchwacheHervorhebung"/>
        </w:rPr>
      </w:pPr>
      <w:r>
        <w:rPr>
          <w:i/>
          <w:iCs/>
          <w:noProof/>
          <w:color w:val="404040" w:themeColor="text1" w:themeTint="BF"/>
        </w:rPr>
        <w:lastRenderedPageBreak/>
        <w:drawing>
          <wp:inline distT="0" distB="0" distL="0" distR="0" wp14:anchorId="0D9EE7C0" wp14:editId="242D69EC">
            <wp:extent cx="2450053" cy="2160000"/>
            <wp:effectExtent l="0" t="0" r="1270" b="0"/>
            <wp:docPr id="135910086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00862" name="Grafik 13591008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0053" cy="2160000"/>
                    </a:xfrm>
                    <a:prstGeom prst="rect">
                      <a:avLst/>
                    </a:prstGeom>
                  </pic:spPr>
                </pic:pic>
              </a:graphicData>
            </a:graphic>
          </wp:inline>
        </w:drawing>
      </w:r>
    </w:p>
    <w:p w14:paraId="713D470E" w14:textId="77777777" w:rsidR="001469CE" w:rsidRDefault="001469CE" w:rsidP="001469CE">
      <w:pPr>
        <w:pStyle w:val="Listenabsatz"/>
        <w:rPr>
          <w:rStyle w:val="SchwacheHervorhebung"/>
        </w:rPr>
      </w:pPr>
      <w:r w:rsidRPr="001469CE">
        <w:rPr>
          <w:rStyle w:val="SchwacheHervorhebung"/>
        </w:rPr>
        <w:t>08_KAISER_1555-26_Kombinationsmoeglichkeiten_04</w:t>
      </w:r>
      <w:r>
        <w:rPr>
          <w:rStyle w:val="SchwacheHervorhebung"/>
        </w:rPr>
        <w:t>.jpg</w:t>
      </w:r>
      <w:r>
        <w:rPr>
          <w:rStyle w:val="SchwacheHervorhebung"/>
        </w:rPr>
        <w:br/>
        <w:t>Luftdicht auch in Mehrfachkombination</w:t>
      </w:r>
    </w:p>
    <w:p w14:paraId="56DBC8A3" w14:textId="77777777" w:rsidR="001469CE" w:rsidRDefault="001469CE" w:rsidP="001469CE">
      <w:pPr>
        <w:pStyle w:val="Listenabsatz"/>
        <w:rPr>
          <w:rStyle w:val="SchwacheHervorhebung"/>
        </w:rPr>
      </w:pPr>
      <w:r>
        <w:rPr>
          <w:i/>
          <w:iCs/>
          <w:noProof/>
          <w:color w:val="404040" w:themeColor="text1" w:themeTint="BF"/>
        </w:rPr>
        <w:drawing>
          <wp:inline distT="0" distB="0" distL="0" distR="0" wp14:anchorId="7D454CE9" wp14:editId="66A4801A">
            <wp:extent cx="2450053" cy="2160000"/>
            <wp:effectExtent l="0" t="0" r="1270" b="0"/>
            <wp:docPr id="6716509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50975" name="Grafik 6716509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053" cy="2160000"/>
                    </a:xfrm>
                    <a:prstGeom prst="rect">
                      <a:avLst/>
                    </a:prstGeom>
                  </pic:spPr>
                </pic:pic>
              </a:graphicData>
            </a:graphic>
          </wp:inline>
        </w:drawing>
      </w:r>
    </w:p>
    <w:p w14:paraId="48AD0C47" w14:textId="77777777" w:rsidR="001469CE" w:rsidRDefault="001469CE" w:rsidP="001469CE">
      <w:pPr>
        <w:pStyle w:val="Listenabsatz"/>
        <w:rPr>
          <w:rStyle w:val="SchwacheHervorhebung"/>
        </w:rPr>
      </w:pPr>
      <w:r w:rsidRPr="001469CE">
        <w:rPr>
          <w:rStyle w:val="SchwacheHervorhebung"/>
        </w:rPr>
        <w:t>07_KAISER_1555-26_Kombinationsausrichtung_02</w:t>
      </w:r>
      <w:r>
        <w:rPr>
          <w:rStyle w:val="SchwacheHervorhebung"/>
        </w:rPr>
        <w:br/>
        <w:t xml:space="preserve">Einfaches </w:t>
      </w:r>
      <w:proofErr w:type="spellStart"/>
      <w:r>
        <w:rPr>
          <w:rStyle w:val="SchwacheHervorhebung"/>
        </w:rPr>
        <w:t>Verrasten</w:t>
      </w:r>
      <w:proofErr w:type="spellEnd"/>
      <w:r>
        <w:rPr>
          <w:rStyle w:val="SchwacheHervorhebung"/>
        </w:rPr>
        <w:t xml:space="preserve"> von zwei Seiten her sorgt für stabile Mehrfachkombinationen</w:t>
      </w:r>
    </w:p>
    <w:p w14:paraId="31BCCB52" w14:textId="77777777" w:rsidR="001469CE" w:rsidRPr="001469CE" w:rsidRDefault="001469CE" w:rsidP="001469CE">
      <w:pPr>
        <w:pStyle w:val="Listenabsatz"/>
        <w:rPr>
          <w:rStyle w:val="Hervorhebung"/>
        </w:rPr>
      </w:pPr>
      <w:r w:rsidRPr="001469CE">
        <w:rPr>
          <w:rStyle w:val="Hervorhebung"/>
        </w:rPr>
        <w:t>Video</w:t>
      </w:r>
    </w:p>
    <w:p w14:paraId="32D0E63A" w14:textId="77777777" w:rsidR="001469CE" w:rsidRDefault="001469CE" w:rsidP="001469CE">
      <w:pPr>
        <w:pStyle w:val="Listenabsatz"/>
        <w:rPr>
          <w:rStyle w:val="SchwacheHervorhebung"/>
        </w:rPr>
      </w:pPr>
      <w:r>
        <w:rPr>
          <w:rStyle w:val="SchwacheHervorhebung"/>
        </w:rPr>
        <w:t xml:space="preserve"> </w:t>
      </w:r>
      <w:r>
        <w:rPr>
          <w:i/>
          <w:iCs/>
          <w:noProof/>
          <w:color w:val="404040" w:themeColor="text1" w:themeTint="BF"/>
        </w:rPr>
        <w:drawing>
          <wp:inline distT="0" distB="0" distL="0" distR="0" wp14:anchorId="4FD35038" wp14:editId="377CD886">
            <wp:extent cx="1440000" cy="1440000"/>
            <wp:effectExtent l="0" t="0" r="0" b="0"/>
            <wp:docPr id="158636425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4255" name="Grafik 15863642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31D05F5" w14:textId="77777777" w:rsidR="001469CE" w:rsidRDefault="001469CE">
      <w:pPr>
        <w:spacing w:line="259" w:lineRule="auto"/>
        <w:rPr>
          <w:rStyle w:val="SchwacheHervorhebung"/>
        </w:rPr>
      </w:pPr>
      <w:r>
        <w:rPr>
          <w:rStyle w:val="SchwacheHervorhebung"/>
        </w:rPr>
        <w:br w:type="page"/>
      </w:r>
    </w:p>
    <w:p w14:paraId="5B7A3509" w14:textId="77777777" w:rsidR="00A02ED0" w:rsidRPr="00A02ED0" w:rsidRDefault="00A02ED0" w:rsidP="00AC1B11">
      <w:pPr>
        <w:rPr>
          <w:rStyle w:val="Fett"/>
        </w:rPr>
      </w:pPr>
      <w:r w:rsidRPr="00A02ED0">
        <w:rPr>
          <w:rStyle w:val="Fett"/>
        </w:rPr>
        <w:lastRenderedPageBreak/>
        <w:t>SIBLIK. Wir schalten schneller.</w:t>
      </w:r>
    </w:p>
    <w:p w14:paraId="7A517A79" w14:textId="77777777" w:rsidR="00A02ED0" w:rsidRPr="00A02ED0" w:rsidRDefault="00A02ED0" w:rsidP="00AC1B11">
      <w:r w:rsidRPr="00A02ED0">
        <w:t>Siblik Elektrik ist ein österreichweit tätiges Unternehmen mit Hauptsitz in Wien. Namhafte in- und ausländische Hersteller aus der Elektro- und Haustechnik-Branche sind eng mit Siblik verbunden und werden exklusiv in Österreich vertreten. Das traditionsreiche Unternehmen wurde 1938 gegründet und blickt somit auf über 8</w:t>
      </w:r>
      <w:r w:rsidR="001527D7">
        <w:t>5</w:t>
      </w:r>
      <w:r w:rsidRPr="00A02ED0">
        <w:t xml:space="preserve"> Jahre Handelsvertretung zurück. Heute beschäftigt Siblik Elektrik über 1</w:t>
      </w:r>
      <w:r w:rsidR="001527D7">
        <w:t>5</w:t>
      </w:r>
      <w:r w:rsidRPr="00A02ED0">
        <w:t>0 MitarbeiterInnen an 4 Standorten, in Wien, Graz, Vöcklabruck und Innsbruck.</w:t>
      </w:r>
    </w:p>
    <w:p w14:paraId="22D47CDA" w14:textId="77777777" w:rsidR="00A02ED0" w:rsidRPr="00A02ED0" w:rsidRDefault="00A02ED0" w:rsidP="00AC1B11">
      <w:r w:rsidRPr="00A02ED0">
        <w:t xml:space="preserve">Mehr Informationen unter </w:t>
      </w:r>
      <w:hyperlink r:id="rId17" w:history="1">
        <w:r w:rsidRPr="00A02ED0">
          <w:t>www.siblik.com</w:t>
        </w:r>
      </w:hyperlink>
      <w:r w:rsidRPr="00A02ED0">
        <w:t xml:space="preserve"> </w:t>
      </w:r>
    </w:p>
    <w:p w14:paraId="4CC68BA4" w14:textId="77777777" w:rsidR="00A02ED0" w:rsidRPr="00A02ED0" w:rsidRDefault="00A02ED0" w:rsidP="00AC1B11">
      <w:r w:rsidRPr="00A02ED0">
        <w:t>Pressekontakt</w:t>
      </w:r>
    </w:p>
    <w:p w14:paraId="77E7E140" w14:textId="77777777" w:rsidR="00A02ED0" w:rsidRDefault="00A02ED0" w:rsidP="00AC1B11">
      <w:r>
        <w:t>Siblik Elektrik Gmb</w:t>
      </w:r>
      <w:r w:rsidR="00075EC4">
        <w:t>H.</w:t>
      </w:r>
      <w:r>
        <w:t xml:space="preserve"> &amp; Co KG</w:t>
      </w:r>
      <w:r>
        <w:br/>
        <w:t>pr@siblik.com</w:t>
      </w:r>
    </w:p>
    <w:sectPr w:rsidR="00A02ED0">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6D9E" w14:textId="77777777" w:rsidR="002A4113" w:rsidRDefault="002A4113" w:rsidP="00AC1B11">
      <w:r>
        <w:separator/>
      </w:r>
    </w:p>
  </w:endnote>
  <w:endnote w:type="continuationSeparator" w:id="0">
    <w:p w14:paraId="2A31AEB9" w14:textId="77777777" w:rsidR="002A4113" w:rsidRDefault="002A4113" w:rsidP="00AC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wis721 Md BT">
    <w:altName w:val="Calibr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EC6" w14:textId="77777777" w:rsidR="009361EB" w:rsidRPr="009361EB" w:rsidRDefault="009361EB" w:rsidP="009361EB">
    <w:pPr>
      <w:pStyle w:val="Untertitel"/>
      <w:rPr>
        <w:sz w:val="18"/>
        <w:szCs w:val="18"/>
      </w:rPr>
    </w:pPr>
    <w:r w:rsidRPr="009361EB">
      <w:rPr>
        <w:sz w:val="18"/>
        <w:szCs w:val="18"/>
      </w:rPr>
      <w:t xml:space="preserve">Größer, schneller, sicherer - das </w:t>
    </w:r>
    <w:proofErr w:type="spellStart"/>
    <w:r w:rsidRPr="009361EB">
      <w:rPr>
        <w:sz w:val="18"/>
        <w:szCs w:val="18"/>
      </w:rPr>
      <w:t>UPdate</w:t>
    </w:r>
    <w:proofErr w:type="spellEnd"/>
    <w:r w:rsidRPr="009361EB">
      <w:rPr>
        <w:sz w:val="18"/>
        <w:szCs w:val="18"/>
      </w:rPr>
      <w:t xml:space="preserve"> für das Elektro-Handwerk</w:t>
    </w:r>
    <w:r w:rsidRPr="009361EB">
      <w:rPr>
        <w:sz w:val="18"/>
        <w:szCs w:val="18"/>
      </w:rPr>
      <w:br/>
      <w:t>Die neuen KAISER Unterputzdosen UP</w:t>
    </w:r>
    <w:r w:rsidRPr="009361EB">
      <w:rPr>
        <w:sz w:val="18"/>
        <w:szCs w:val="18"/>
        <w:vertAlign w:val="superscrip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D40A" w14:textId="77777777" w:rsidR="002A4113" w:rsidRDefault="002A4113" w:rsidP="00AC1B11">
      <w:r>
        <w:separator/>
      </w:r>
    </w:p>
  </w:footnote>
  <w:footnote w:type="continuationSeparator" w:id="0">
    <w:p w14:paraId="5D426CCB" w14:textId="77777777" w:rsidR="002A4113" w:rsidRDefault="002A4113" w:rsidP="00AC1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707A" w14:textId="77777777" w:rsidR="00A02ED0" w:rsidRDefault="00A02ED0" w:rsidP="00AC1B11">
    <w:pPr>
      <w:pStyle w:val="Untertitel"/>
    </w:pPr>
    <w:r>
      <w:rPr>
        <w:noProof/>
        <w:lang w:eastAsia="de-AT"/>
      </w:rPr>
      <w:drawing>
        <wp:anchor distT="0" distB="0" distL="114300" distR="114300" simplePos="0" relativeHeight="251658240" behindDoc="0" locked="0" layoutInCell="1" allowOverlap="1" wp14:anchorId="78EF463B" wp14:editId="0E663FF2">
          <wp:simplePos x="0" y="0"/>
          <wp:positionH relativeFrom="margin">
            <wp:align>right</wp:align>
          </wp:positionH>
          <wp:positionV relativeFrom="paragraph">
            <wp:posOffset>-249555</wp:posOffset>
          </wp:positionV>
          <wp:extent cx="673994" cy="5715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lik Logo 4C_3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994" cy="571500"/>
                  </a:xfrm>
                  <a:prstGeom prst="rect">
                    <a:avLst/>
                  </a:prstGeom>
                </pic:spPr>
              </pic:pic>
            </a:graphicData>
          </a:graphic>
        </wp:anchor>
      </w:drawing>
    </w:r>
    <w:r>
      <w:t>Siblik 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26F11"/>
    <w:multiLevelType w:val="hybridMultilevel"/>
    <w:tmpl w:val="4DA63D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F1525E5"/>
    <w:multiLevelType w:val="hybridMultilevel"/>
    <w:tmpl w:val="46AEFB68"/>
    <w:lvl w:ilvl="0" w:tplc="29842740">
      <w:numFmt w:val="bullet"/>
      <w:lvlText w:val="-"/>
      <w:lvlJc w:val="left"/>
      <w:pPr>
        <w:ind w:left="400" w:hanging="360"/>
      </w:pPr>
      <w:rPr>
        <w:rFonts w:ascii="Calibri" w:eastAsiaTheme="minorHAnsi" w:hAnsi="Calibri" w:cs="Calibri" w:hint="default"/>
      </w:rPr>
    </w:lvl>
    <w:lvl w:ilvl="1" w:tplc="04070003" w:tentative="1">
      <w:start w:val="1"/>
      <w:numFmt w:val="bullet"/>
      <w:lvlText w:val="o"/>
      <w:lvlJc w:val="left"/>
      <w:pPr>
        <w:ind w:left="1120" w:hanging="360"/>
      </w:pPr>
      <w:rPr>
        <w:rFonts w:ascii="Courier New" w:hAnsi="Courier New" w:cs="Courier New" w:hint="default"/>
      </w:rPr>
    </w:lvl>
    <w:lvl w:ilvl="2" w:tplc="04070005" w:tentative="1">
      <w:start w:val="1"/>
      <w:numFmt w:val="bullet"/>
      <w:lvlText w:val=""/>
      <w:lvlJc w:val="left"/>
      <w:pPr>
        <w:ind w:left="1840" w:hanging="360"/>
      </w:pPr>
      <w:rPr>
        <w:rFonts w:ascii="Wingdings" w:hAnsi="Wingdings" w:hint="default"/>
      </w:rPr>
    </w:lvl>
    <w:lvl w:ilvl="3" w:tplc="04070001" w:tentative="1">
      <w:start w:val="1"/>
      <w:numFmt w:val="bullet"/>
      <w:lvlText w:val=""/>
      <w:lvlJc w:val="left"/>
      <w:pPr>
        <w:ind w:left="2560" w:hanging="360"/>
      </w:pPr>
      <w:rPr>
        <w:rFonts w:ascii="Symbol" w:hAnsi="Symbol" w:hint="default"/>
      </w:rPr>
    </w:lvl>
    <w:lvl w:ilvl="4" w:tplc="04070003" w:tentative="1">
      <w:start w:val="1"/>
      <w:numFmt w:val="bullet"/>
      <w:lvlText w:val="o"/>
      <w:lvlJc w:val="left"/>
      <w:pPr>
        <w:ind w:left="3280" w:hanging="360"/>
      </w:pPr>
      <w:rPr>
        <w:rFonts w:ascii="Courier New" w:hAnsi="Courier New" w:cs="Courier New" w:hint="default"/>
      </w:rPr>
    </w:lvl>
    <w:lvl w:ilvl="5" w:tplc="04070005" w:tentative="1">
      <w:start w:val="1"/>
      <w:numFmt w:val="bullet"/>
      <w:lvlText w:val=""/>
      <w:lvlJc w:val="left"/>
      <w:pPr>
        <w:ind w:left="4000" w:hanging="360"/>
      </w:pPr>
      <w:rPr>
        <w:rFonts w:ascii="Wingdings" w:hAnsi="Wingdings" w:hint="default"/>
      </w:rPr>
    </w:lvl>
    <w:lvl w:ilvl="6" w:tplc="04070001" w:tentative="1">
      <w:start w:val="1"/>
      <w:numFmt w:val="bullet"/>
      <w:lvlText w:val=""/>
      <w:lvlJc w:val="left"/>
      <w:pPr>
        <w:ind w:left="4720" w:hanging="360"/>
      </w:pPr>
      <w:rPr>
        <w:rFonts w:ascii="Symbol" w:hAnsi="Symbol" w:hint="default"/>
      </w:rPr>
    </w:lvl>
    <w:lvl w:ilvl="7" w:tplc="04070003" w:tentative="1">
      <w:start w:val="1"/>
      <w:numFmt w:val="bullet"/>
      <w:lvlText w:val="o"/>
      <w:lvlJc w:val="left"/>
      <w:pPr>
        <w:ind w:left="5440" w:hanging="360"/>
      </w:pPr>
      <w:rPr>
        <w:rFonts w:ascii="Courier New" w:hAnsi="Courier New" w:cs="Courier New" w:hint="default"/>
      </w:rPr>
    </w:lvl>
    <w:lvl w:ilvl="8" w:tplc="04070005" w:tentative="1">
      <w:start w:val="1"/>
      <w:numFmt w:val="bullet"/>
      <w:lvlText w:val=""/>
      <w:lvlJc w:val="left"/>
      <w:pPr>
        <w:ind w:left="6160" w:hanging="360"/>
      </w:pPr>
      <w:rPr>
        <w:rFonts w:ascii="Wingdings" w:hAnsi="Wingdings" w:hint="default"/>
      </w:rPr>
    </w:lvl>
  </w:abstractNum>
  <w:abstractNum w:abstractNumId="2" w15:restartNumberingAfterBreak="0">
    <w:nsid w:val="51171D48"/>
    <w:multiLevelType w:val="hybridMultilevel"/>
    <w:tmpl w:val="16E81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7986263">
    <w:abstractNumId w:val="0"/>
  </w:num>
  <w:num w:numId="2" w16cid:durableId="791510606">
    <w:abstractNumId w:val="2"/>
  </w:num>
  <w:num w:numId="3" w16cid:durableId="1341010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50"/>
    <w:rsid w:val="000178F0"/>
    <w:rsid w:val="00075EC4"/>
    <w:rsid w:val="001469CE"/>
    <w:rsid w:val="001527D7"/>
    <w:rsid w:val="00154081"/>
    <w:rsid w:val="001B07DD"/>
    <w:rsid w:val="00251411"/>
    <w:rsid w:val="002A4113"/>
    <w:rsid w:val="0034222B"/>
    <w:rsid w:val="004751F2"/>
    <w:rsid w:val="004A5F97"/>
    <w:rsid w:val="00523D4B"/>
    <w:rsid w:val="00545545"/>
    <w:rsid w:val="00667614"/>
    <w:rsid w:val="007052FE"/>
    <w:rsid w:val="00745B35"/>
    <w:rsid w:val="00852566"/>
    <w:rsid w:val="008863F2"/>
    <w:rsid w:val="009361EB"/>
    <w:rsid w:val="009B732B"/>
    <w:rsid w:val="009E656B"/>
    <w:rsid w:val="00A02ED0"/>
    <w:rsid w:val="00A2068E"/>
    <w:rsid w:val="00A86EF0"/>
    <w:rsid w:val="00A96976"/>
    <w:rsid w:val="00AA1BB4"/>
    <w:rsid w:val="00AC1B11"/>
    <w:rsid w:val="00BC045A"/>
    <w:rsid w:val="00C579D7"/>
    <w:rsid w:val="00C70B50"/>
    <w:rsid w:val="00E46292"/>
    <w:rsid w:val="00E5211D"/>
    <w:rsid w:val="00E86F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3010A"/>
  <w15:chartTrackingRefBased/>
  <w15:docId w15:val="{6FA9B23B-6691-4038-ACC6-1C439369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1B11"/>
    <w:pPr>
      <w:spacing w:line="312" w:lineRule="auto"/>
    </w:pPr>
  </w:style>
  <w:style w:type="paragraph" w:styleId="berschrift1">
    <w:name w:val="heading 1"/>
    <w:basedOn w:val="Titel"/>
    <w:next w:val="Standard"/>
    <w:link w:val="berschrift1Zchn"/>
    <w:uiPriority w:val="9"/>
    <w:qFormat/>
    <w:rsid w:val="00AC1B11"/>
    <w:pPr>
      <w:outlineLvl w:val="0"/>
    </w:pPr>
  </w:style>
  <w:style w:type="paragraph" w:styleId="berschrift2">
    <w:name w:val="heading 2"/>
    <w:basedOn w:val="Titel"/>
    <w:next w:val="Standard"/>
    <w:link w:val="berschrift2Zchn"/>
    <w:uiPriority w:val="9"/>
    <w:unhideWhenUsed/>
    <w:qFormat/>
    <w:rsid w:val="00AC1B11"/>
    <w:pPr>
      <w:outlineLvl w:val="1"/>
    </w:pPr>
    <w:rPr>
      <w:sz w:val="40"/>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751F2"/>
    <w:rPr>
      <w:b/>
      <w:bCs/>
    </w:rPr>
  </w:style>
  <w:style w:type="character" w:styleId="SchwacheHervorhebung">
    <w:name w:val="Subtle Emphasis"/>
    <w:basedOn w:val="Absatz-Standardschriftart"/>
    <w:uiPriority w:val="19"/>
    <w:qFormat/>
    <w:rsid w:val="00745B35"/>
    <w:rPr>
      <w:i/>
      <w:iCs/>
      <w:color w:val="404040" w:themeColor="text1" w:themeTint="BF"/>
    </w:rPr>
  </w:style>
  <w:style w:type="paragraph" w:styleId="Titel">
    <w:name w:val="Title"/>
    <w:basedOn w:val="Standard"/>
    <w:next w:val="Standard"/>
    <w:link w:val="TitelZchn"/>
    <w:uiPriority w:val="10"/>
    <w:qFormat/>
    <w:rsid w:val="00745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45B35"/>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AC1B11"/>
  </w:style>
  <w:style w:type="character" w:styleId="Hyperlink">
    <w:name w:val="Hyperlink"/>
    <w:semiHidden/>
    <w:unhideWhenUsed/>
    <w:rsid w:val="00A02ED0"/>
    <w:rPr>
      <w:color w:val="0000FF"/>
      <w:u w:val="single"/>
    </w:rPr>
  </w:style>
  <w:style w:type="paragraph" w:styleId="KeinLeerraum">
    <w:name w:val="No Spacing"/>
    <w:uiPriority w:val="1"/>
    <w:qFormat/>
    <w:rsid w:val="00A02ED0"/>
    <w:pPr>
      <w:spacing w:after="0" w:line="240" w:lineRule="auto"/>
    </w:pPr>
  </w:style>
  <w:style w:type="paragraph" w:styleId="Kopfzeile">
    <w:name w:val="header"/>
    <w:basedOn w:val="Standard"/>
    <w:link w:val="KopfzeileZchn"/>
    <w:uiPriority w:val="99"/>
    <w:unhideWhenUsed/>
    <w:rsid w:val="00A02E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2ED0"/>
  </w:style>
  <w:style w:type="paragraph" w:styleId="Fuzeile">
    <w:name w:val="footer"/>
    <w:basedOn w:val="Standard"/>
    <w:link w:val="FuzeileZchn"/>
    <w:uiPriority w:val="99"/>
    <w:unhideWhenUsed/>
    <w:rsid w:val="00A02E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2ED0"/>
  </w:style>
  <w:style w:type="paragraph" w:styleId="Untertitel">
    <w:name w:val="Subtitle"/>
    <w:basedOn w:val="Standard"/>
    <w:next w:val="Standard"/>
    <w:link w:val="UntertitelZchn"/>
    <w:uiPriority w:val="11"/>
    <w:qFormat/>
    <w:rsid w:val="00AC1B1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C1B11"/>
    <w:rPr>
      <w:rFonts w:eastAsiaTheme="minorEastAsia"/>
      <w:color w:val="5A5A5A" w:themeColor="text1" w:themeTint="A5"/>
      <w:spacing w:val="15"/>
    </w:rPr>
  </w:style>
  <w:style w:type="paragraph" w:styleId="Sprechblasentext">
    <w:name w:val="Balloon Text"/>
    <w:basedOn w:val="Standard"/>
    <w:link w:val="SprechblasentextZchn"/>
    <w:uiPriority w:val="99"/>
    <w:semiHidden/>
    <w:unhideWhenUsed/>
    <w:rsid w:val="00A02ED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2ED0"/>
    <w:rPr>
      <w:rFonts w:ascii="Segoe UI" w:hAnsi="Segoe UI" w:cs="Segoe UI"/>
      <w:sz w:val="18"/>
      <w:szCs w:val="18"/>
    </w:rPr>
  </w:style>
  <w:style w:type="paragraph" w:styleId="Zitat">
    <w:name w:val="Quote"/>
    <w:basedOn w:val="Standard"/>
    <w:next w:val="Standard"/>
    <w:link w:val="ZitatZchn"/>
    <w:uiPriority w:val="29"/>
    <w:qFormat/>
    <w:rsid w:val="00AC1B1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C1B11"/>
    <w:rPr>
      <w:i/>
      <w:iCs/>
      <w:color w:val="404040" w:themeColor="text1" w:themeTint="BF"/>
    </w:rPr>
  </w:style>
  <w:style w:type="character" w:customStyle="1" w:styleId="berschrift1Zchn">
    <w:name w:val="Überschrift 1 Zchn"/>
    <w:basedOn w:val="Absatz-Standardschriftart"/>
    <w:link w:val="berschrift1"/>
    <w:uiPriority w:val="9"/>
    <w:rsid w:val="00AC1B11"/>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AC1B11"/>
    <w:rPr>
      <w:rFonts w:asciiTheme="majorHAnsi" w:eastAsiaTheme="majorEastAsia" w:hAnsiTheme="majorHAnsi" w:cstheme="majorBidi"/>
      <w:spacing w:val="-10"/>
      <w:kern w:val="28"/>
      <w:sz w:val="40"/>
      <w:szCs w:val="40"/>
    </w:rPr>
  </w:style>
  <w:style w:type="character" w:styleId="Hervorhebung">
    <w:name w:val="Emphasis"/>
    <w:basedOn w:val="Fett"/>
    <w:uiPriority w:val="20"/>
    <w:qFormat/>
    <w:rsid w:val="00AC1B11"/>
    <w:rPr>
      <w:b/>
      <w:bCs/>
    </w:rPr>
  </w:style>
  <w:style w:type="paragraph" w:customStyle="1" w:styleId="Headline">
    <w:name w:val="Headline"/>
    <w:basedOn w:val="Standard"/>
    <w:rsid w:val="00AC1B11"/>
    <w:pPr>
      <w:spacing w:before="60" w:after="60" w:line="360" w:lineRule="auto"/>
    </w:pPr>
    <w:rPr>
      <w:rFonts w:ascii="Swis721 Md BT" w:eastAsia="Times New Roman" w:hAnsi="Swis721 Md BT" w:cs="Times New Roman"/>
      <w:b/>
      <w:sz w:val="26"/>
      <w:szCs w:val="20"/>
      <w:lang w:val="de-DE" w:eastAsia="de-DE"/>
    </w:rPr>
  </w:style>
  <w:style w:type="paragraph" w:customStyle="1" w:styleId="Zwischenberschrift">
    <w:name w:val="Zwischenüberschrift"/>
    <w:basedOn w:val="Standard"/>
    <w:rsid w:val="00AC1B11"/>
    <w:pPr>
      <w:spacing w:before="120" w:after="120" w:line="360" w:lineRule="auto"/>
      <w:jc w:val="both"/>
    </w:pPr>
    <w:rPr>
      <w:rFonts w:ascii="Swis721 Md BT" w:eastAsia="Times New Roman" w:hAnsi="Swis721 Md BT" w:cs="Times New Roman"/>
      <w:b/>
      <w:szCs w:val="20"/>
      <w:lang w:val="de-DE" w:eastAsia="de-DE"/>
    </w:rPr>
  </w:style>
  <w:style w:type="character" w:styleId="SchwacherVerweis">
    <w:name w:val="Subtle Reference"/>
    <w:basedOn w:val="Absatz-Standardschriftart"/>
    <w:uiPriority w:val="31"/>
    <w:qFormat/>
    <w:rsid w:val="001469C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iblik.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F9C9F7-C89B-5F43-9355-A665C271FE11}">
  <we:reference id="a6ab5f17-ed7d-4c8a-80f0-5a39579a70a2" version="1.5.0.0" store="EXCatalog" storeType="EXCatalog"/>
  <we:alternateReferences>
    <we:reference id="WA200002017" version="1.5.0.0" store="de-AT" storeType="OMEX"/>
  </we:alternateReferences>
  <we:properties>
    <we:property name="ignoredAdviceList" value="&quot;[{\&quot;errorCode\&quot;:\&quot;1\&quot;,\&quot;originalError\&quot;:\&quot;UPdate\&quot;},{\&quot;errorCode\&quot;:\&quot;21\&quot;,\&quot;originalError\&quot;:\&quot;PU-Schaum\&quot;},{\&quot;errorCode\&quot;:\&quot;21\&quot;,\&quot;originalError\&quot;:\&quot;Verrasten\&quot;},{\&quot;errorCode\&quot;:\&quot;21\&quot;,\&quot;originalError\&quot;:\&quot;vorkonfektionierte\&quot;},{\&quot;errorCode\&quot;:\&quot;21\&quot;,\&quot;originalError\&quot;:\&quot;UP1-Putzausgleich-Rahmen\&quot;},{\&quot;errorCode\&quot;:\&quot;21\&quot;,\&quot;originalError\&quot;:\&quot;UP1-Signaldeckel\&quot;},{\&quot;errorCode\&quot;:\&quot;111\&quot;,\&quot;originalError\&quot;:\&quot;luftdicht\&quot;},{\&quot;errorCode\&quot;:\&quot;166\&quot;,\&quot;originalError\&quot;:\&quot;Form\&quot;},{\&quot;errorCode\&quot;:\&quot;166\&quot;,\&quot;originalError\&quot;:\&quot;Einbau\&quot;},{\&quot;errorCode\&quot;:\&quot;901\&quot;,\&quot;originalError\&quot;:\&quot;frischem grau\&quot;},{\&quot;errorCode\&quot;:\&quot;111\&quot;,\&quot;originalError\&quot;:\&quot;attraktive\&quot;},{\&quot;errorCode\&quot;:\&quot;2001\&quot;,\&quot;originalError\&quot;:\&quot;pr@siblik.com\&quot;},{\&quot;errorCode\&quot;:\&quot;2001\&quot;,\&quot;originalError\&quot;:\&quot;pr@siblik\&quot;},{\&quot;errorCode\&quot;:\&quot;c005\&quot;,\&quot;originalError\&quot;:\&quot;Die attraktive und funktionsgerechte Optik, 50-prozentige Zeitersparnis, Luftdichtheit und bis zu 25 % mehr Installationsvolumen sind nur ein paar der innovativen Vorteile, die Kaiser UP1 bietet.\&quot;},{\&quot;errorCode\&quot;:\&quot;111\&quot;,\&quot;originalError\&quot;:\&quot;einfaches\&quot;},{\&quot;errorCode\&quot;:\&quot;111\&quot;,\&quot;originalError\&quot;:\&quot;zwei\&quot;},{\&quot;errorCode\&quot;:\&quot;111\&quot;,\&quot;originalError\&quot;:\&quot;innovative\&quot;},{\&quot;errorCode\&quot;:\&quot;166\&quot;,\&quot;originalError\&quot;:\&quot;www.siblik.com\&quot;},{\&quot;errorCode\&quot;:\&quot;21\&quot;,\&quot;originalError\&quot;:\&quot;www\&quot;},{\&quot;errorCode\&quot;:\&quot;c005\&quot;,\&quot;originalError\&quot;:\&quot;In enger Zusammenarbeit mit dem Elektro-Handwerk hat Kaiser mit UP1 ECON® Fix ein Unterputz-Programm entwickelt, das die Vorzüge sämtlicher UP-Dosen im Markt in sich vereint und mit weiteren arbeitsentlastenden Features neue Maßstäbe setzt. \&quot;},{\&quot;errorCode\&quot;:\&quot;c005\&quot;,\&quot;originalError\&quot;:\&quot;Die dauerhaft luftdichten Geräte- und Geräteverbindungsdosen fallen allein schon optisch auf – statt rund setzt man auf sechseckig, die bisher vorherrschende Farbe „Schwarz“ ist einem attraktiven, modernen „strahlenden Grau“ gewichen, Funktionselemente wie\&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6</Pages>
  <Words>856</Words>
  <Characters>5398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Hellar</dc:creator>
  <cp:keywords/>
  <dc:description/>
  <cp:lastModifiedBy>Nina Hellar</cp:lastModifiedBy>
  <cp:revision>2</cp:revision>
  <cp:lastPrinted>2023-09-20T08:58:00Z</cp:lastPrinted>
  <dcterms:created xsi:type="dcterms:W3CDTF">2024-05-08T06:50:00Z</dcterms:created>
  <dcterms:modified xsi:type="dcterms:W3CDTF">2024-05-08T06:50:00Z</dcterms:modified>
</cp:coreProperties>
</file>